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Look w:val="0000" w:firstRow="0" w:lastRow="0" w:firstColumn="0" w:lastColumn="0" w:noHBand="0" w:noVBand="0"/>
      </w:tblPr>
      <w:tblGrid>
        <w:gridCol w:w="452"/>
        <w:gridCol w:w="4014"/>
        <w:gridCol w:w="3840"/>
      </w:tblGrid>
      <w:tr w:rsidR="00000000" w14:paraId="160BDD02" w14:textId="77777777">
        <w:trPr>
          <w:gridBefore w:val="1"/>
          <w:wBefore w:w="675" w:type="dxa"/>
        </w:trPr>
        <w:tc>
          <w:tcPr>
            <w:tcW w:w="7857" w:type="dxa"/>
            <w:gridSpan w:val="2"/>
            <w:tcBorders>
              <w:top w:val="nil"/>
              <w:left w:val="nil"/>
              <w:bottom w:val="nil"/>
              <w:right w:val="nil"/>
            </w:tcBorders>
          </w:tcPr>
          <w:p w14:paraId="550AAFEC" w14:textId="77777777" w:rsidR="00000000" w:rsidRDefault="00B659DA">
            <w:pPr>
              <w:pStyle w:val="FileNumber0"/>
              <w:rPr>
                <w:rFonts w:cs="FrankRuehl"/>
                <w:sz w:val="28"/>
                <w:u w:val="single"/>
              </w:rPr>
            </w:pPr>
            <w:bookmarkStart w:id="0" w:name="_GoBack"/>
            <w:bookmarkEnd w:id="0"/>
            <w:r>
              <w:rPr>
                <w:rFonts w:cs="FrankRuehl"/>
                <w:sz w:val="28"/>
                <w:u w:val="single"/>
                <w:rtl/>
              </w:rPr>
              <w:t>בבית המשפט העליון בשבתו כבית משפט גבוה לצדק</w:t>
            </w:r>
          </w:p>
        </w:tc>
      </w:tr>
      <w:tr w:rsidR="00000000" w14:paraId="53FBE265" w14:textId="77777777">
        <w:trPr>
          <w:gridAfter w:val="1"/>
          <w:wAfter w:w="7857" w:type="dxa"/>
          <w:trHeight w:val="342"/>
        </w:trPr>
        <w:tc>
          <w:tcPr>
            <w:tcW w:w="8501" w:type="dxa"/>
            <w:gridSpan w:val="2"/>
            <w:tcBorders>
              <w:top w:val="nil"/>
              <w:left w:val="nil"/>
              <w:bottom w:val="nil"/>
              <w:right w:val="nil"/>
            </w:tcBorders>
          </w:tcPr>
          <w:p w14:paraId="602A5B42" w14:textId="77777777" w:rsidR="00000000" w:rsidRDefault="00B659DA">
            <w:pPr>
              <w:pStyle w:val="FileNumber"/>
              <w:rPr>
                <w:rFonts w:cs="FrankRuehl"/>
                <w:sz w:val="28"/>
                <w:szCs w:val="28"/>
              </w:rPr>
            </w:pPr>
            <w:r>
              <w:rPr>
                <w:rFonts w:cs="FrankRuehl"/>
                <w:sz w:val="28"/>
                <w:szCs w:val="28"/>
                <w:rtl/>
              </w:rPr>
              <w:t>בג"ץ  6052/03</w:t>
            </w:r>
          </w:p>
        </w:tc>
      </w:tr>
      <w:tr w:rsidR="00000000" w14:paraId="0FE0F21A" w14:textId="77777777">
        <w:tc>
          <w:tcPr>
            <w:tcW w:w="144" w:type="dxa"/>
            <w:tcBorders>
              <w:top w:val="nil"/>
              <w:left w:val="nil"/>
              <w:bottom w:val="nil"/>
              <w:right w:val="nil"/>
            </w:tcBorders>
            <w:vAlign w:val="center"/>
          </w:tcPr>
          <w:p w14:paraId="01291A5B" w14:textId="77777777" w:rsidR="00000000" w:rsidRDefault="00B659DA"/>
        </w:tc>
        <w:tc>
          <w:tcPr>
            <w:tcW w:w="7830" w:type="dxa"/>
            <w:tcBorders>
              <w:top w:val="nil"/>
              <w:left w:val="nil"/>
              <w:bottom w:val="nil"/>
              <w:right w:val="nil"/>
            </w:tcBorders>
            <w:vAlign w:val="center"/>
          </w:tcPr>
          <w:p w14:paraId="20E4CA7C" w14:textId="77777777" w:rsidR="00000000" w:rsidRDefault="00B659DA"/>
        </w:tc>
        <w:tc>
          <w:tcPr>
            <w:tcW w:w="675" w:type="dxa"/>
            <w:tcBorders>
              <w:top w:val="nil"/>
              <w:left w:val="nil"/>
              <w:bottom w:val="nil"/>
              <w:right w:val="nil"/>
            </w:tcBorders>
            <w:vAlign w:val="center"/>
          </w:tcPr>
          <w:p w14:paraId="0438BE16" w14:textId="77777777" w:rsidR="00000000" w:rsidRDefault="00B659DA"/>
        </w:tc>
      </w:tr>
    </w:tbl>
    <w:p w14:paraId="43B48FB2" w14:textId="77777777" w:rsidR="00000000" w:rsidRDefault="00B659DA">
      <w:pPr>
        <w:overflowPunct w:val="0"/>
        <w:autoSpaceDE w:val="0"/>
        <w:autoSpaceDN w:val="0"/>
        <w:adjustRightInd w:val="0"/>
        <w:jc w:val="right"/>
        <w:rPr>
          <w:rFonts w:cs="FrankRuehl"/>
          <w:b/>
          <w:bCs/>
          <w:sz w:val="20"/>
          <w:u w:val="single"/>
        </w:rPr>
      </w:pPr>
      <w:r>
        <w:rPr>
          <w:rFonts w:cs="FrankRuehl"/>
          <w:b/>
          <w:bCs/>
        </w:rPr>
        <w:t> </w:t>
      </w:r>
    </w:p>
    <w:tbl>
      <w:tblPr>
        <w:bidiVisual/>
        <w:tblW w:w="0" w:type="auto"/>
        <w:tblLook w:val="0000" w:firstRow="0" w:lastRow="0" w:firstColumn="0" w:lastColumn="0" w:noHBand="0" w:noVBand="0"/>
      </w:tblPr>
      <w:tblGrid>
        <w:gridCol w:w="3202"/>
        <w:gridCol w:w="5104"/>
      </w:tblGrid>
      <w:tr w:rsidR="00000000" w14:paraId="19D504B8" w14:textId="77777777">
        <w:trPr>
          <w:trHeight w:val="287"/>
        </w:trPr>
        <w:tc>
          <w:tcPr>
            <w:tcW w:w="3284" w:type="dxa"/>
            <w:tcBorders>
              <w:top w:val="nil"/>
              <w:left w:val="nil"/>
              <w:bottom w:val="nil"/>
              <w:right w:val="nil"/>
            </w:tcBorders>
          </w:tcPr>
          <w:p w14:paraId="00F9835C" w14:textId="77777777" w:rsidR="00000000" w:rsidRDefault="00B659DA">
            <w:pPr>
              <w:pStyle w:val="BodyRuller"/>
              <w:rPr>
                <w:rFonts w:cs="FrankRuehl"/>
                <w:b/>
                <w:bCs/>
                <w:u w:val="single"/>
              </w:rPr>
            </w:pPr>
            <w:r>
              <w:rPr>
                <w:rFonts w:cs="FrankRuehl"/>
                <w:sz w:val="28"/>
                <w:rtl/>
              </w:rPr>
              <w:t>בפני:</w:t>
            </w:r>
            <w:r>
              <w:rPr>
                <w:rFonts w:cs="FrankRuehl"/>
                <w:sz w:val="28"/>
                <w:rtl/>
              </w:rPr>
              <w:tab/>
            </w:r>
          </w:p>
        </w:tc>
        <w:tc>
          <w:tcPr>
            <w:tcW w:w="5238" w:type="dxa"/>
            <w:tcBorders>
              <w:top w:val="nil"/>
              <w:left w:val="nil"/>
              <w:bottom w:val="nil"/>
              <w:right w:val="nil"/>
            </w:tcBorders>
          </w:tcPr>
          <w:p w14:paraId="7F311A90" w14:textId="77777777" w:rsidR="00000000" w:rsidRDefault="00B659DA">
            <w:pPr>
              <w:pStyle w:val="BodyRuller"/>
              <w:rPr>
                <w:rFonts w:cs="FrankRuehl"/>
              </w:rPr>
            </w:pPr>
            <w:r>
              <w:rPr>
                <w:rFonts w:cs="FrankRuehl"/>
                <w:sz w:val="28"/>
                <w:rtl/>
              </w:rPr>
              <w:t>כבוד המשנה לנשיא ת' אור</w:t>
            </w:r>
          </w:p>
        </w:tc>
      </w:tr>
      <w:tr w:rsidR="00000000" w14:paraId="48B4145D" w14:textId="77777777">
        <w:trPr>
          <w:trHeight w:val="287"/>
        </w:trPr>
        <w:tc>
          <w:tcPr>
            <w:tcW w:w="3284" w:type="dxa"/>
            <w:tcBorders>
              <w:top w:val="nil"/>
              <w:left w:val="nil"/>
              <w:bottom w:val="nil"/>
              <w:right w:val="nil"/>
            </w:tcBorders>
          </w:tcPr>
          <w:p w14:paraId="1C22D658" w14:textId="77777777" w:rsidR="00000000" w:rsidRDefault="00B659DA">
            <w:pPr>
              <w:pStyle w:val="BodyRuller"/>
              <w:rPr>
                <w:rFonts w:cs="FrankRuehl"/>
              </w:rPr>
            </w:pPr>
            <w:r>
              <w:rPr>
                <w:rFonts w:cs="FrankRuehl"/>
                <w:sz w:val="28"/>
                <w:rtl/>
              </w:rPr>
              <w:t> </w:t>
            </w:r>
          </w:p>
        </w:tc>
        <w:tc>
          <w:tcPr>
            <w:tcW w:w="5238" w:type="dxa"/>
            <w:tcBorders>
              <w:top w:val="nil"/>
              <w:left w:val="nil"/>
              <w:bottom w:val="nil"/>
              <w:right w:val="nil"/>
            </w:tcBorders>
          </w:tcPr>
          <w:p w14:paraId="7F85BD17" w14:textId="77777777" w:rsidR="00000000" w:rsidRDefault="00B659DA">
            <w:pPr>
              <w:pStyle w:val="BodyRuller"/>
              <w:rPr>
                <w:rFonts w:cs="FrankRuehl"/>
              </w:rPr>
            </w:pPr>
            <w:r>
              <w:rPr>
                <w:rFonts w:cs="FrankRuehl"/>
                <w:sz w:val="28"/>
                <w:rtl/>
              </w:rPr>
              <w:t>כבוד השופט א' א' לוי</w:t>
            </w:r>
          </w:p>
        </w:tc>
      </w:tr>
      <w:tr w:rsidR="00000000" w14:paraId="13BED3D2" w14:textId="77777777">
        <w:trPr>
          <w:trHeight w:val="287"/>
        </w:trPr>
        <w:tc>
          <w:tcPr>
            <w:tcW w:w="3284" w:type="dxa"/>
            <w:tcBorders>
              <w:top w:val="nil"/>
              <w:left w:val="nil"/>
              <w:bottom w:val="nil"/>
              <w:right w:val="nil"/>
            </w:tcBorders>
          </w:tcPr>
          <w:p w14:paraId="3F7E1B1D" w14:textId="77777777" w:rsidR="00000000" w:rsidRDefault="00B659DA">
            <w:pPr>
              <w:pStyle w:val="BodyRuller"/>
              <w:rPr>
                <w:rFonts w:cs="FrankRuehl"/>
              </w:rPr>
            </w:pPr>
            <w:r>
              <w:rPr>
                <w:rFonts w:cs="FrankRuehl"/>
                <w:sz w:val="28"/>
                <w:rtl/>
              </w:rPr>
              <w:t> </w:t>
            </w:r>
          </w:p>
        </w:tc>
        <w:tc>
          <w:tcPr>
            <w:tcW w:w="5238" w:type="dxa"/>
            <w:tcBorders>
              <w:top w:val="nil"/>
              <w:left w:val="nil"/>
              <w:bottom w:val="nil"/>
              <w:right w:val="nil"/>
            </w:tcBorders>
          </w:tcPr>
          <w:p w14:paraId="63E2ED84" w14:textId="77777777" w:rsidR="00000000" w:rsidRDefault="00B659DA">
            <w:pPr>
              <w:pStyle w:val="BodyRuller"/>
              <w:rPr>
                <w:rFonts w:cs="FrankRuehl"/>
              </w:rPr>
            </w:pPr>
            <w:r>
              <w:rPr>
                <w:rFonts w:cs="FrankRuehl"/>
                <w:sz w:val="28"/>
                <w:rtl/>
              </w:rPr>
              <w:t>כבוד השופטת א' חיות</w:t>
            </w:r>
          </w:p>
        </w:tc>
      </w:tr>
    </w:tbl>
    <w:p w14:paraId="1AD0E43A" w14:textId="77777777" w:rsidR="00000000" w:rsidRDefault="00B659DA">
      <w:pPr>
        <w:pStyle w:val="Ruller3"/>
        <w:rPr>
          <w:rFonts w:cs="FrankRuehl"/>
          <w:b/>
          <w:bCs/>
          <w:sz w:val="28"/>
          <w:u w:val="single"/>
          <w:rtl/>
        </w:rPr>
      </w:pPr>
      <w:r>
        <w:rPr>
          <w:rFonts w:cs="FrankRuehl"/>
          <w:b/>
          <w:bCs/>
          <w:sz w:val="28"/>
          <w:rtl/>
        </w:rPr>
        <w:t> </w:t>
      </w:r>
    </w:p>
    <w:tbl>
      <w:tblPr>
        <w:bidiVisual/>
        <w:tblW w:w="0" w:type="auto"/>
        <w:tblLook w:val="0000" w:firstRow="0" w:lastRow="0" w:firstColumn="0" w:lastColumn="0" w:noHBand="0" w:noVBand="0"/>
      </w:tblPr>
      <w:tblGrid>
        <w:gridCol w:w="3208"/>
        <w:gridCol w:w="5098"/>
      </w:tblGrid>
      <w:tr w:rsidR="00000000" w14:paraId="68EB78AC" w14:textId="77777777">
        <w:tc>
          <w:tcPr>
            <w:tcW w:w="3284" w:type="dxa"/>
            <w:tcBorders>
              <w:top w:val="nil"/>
              <w:left w:val="nil"/>
              <w:bottom w:val="nil"/>
              <w:right w:val="nil"/>
            </w:tcBorders>
          </w:tcPr>
          <w:p w14:paraId="5AD03CBE" w14:textId="77777777" w:rsidR="00000000" w:rsidRDefault="00B659DA">
            <w:pPr>
              <w:pStyle w:val="BodyRuller"/>
              <w:rPr>
                <w:rFonts w:cs="FrankRuehl"/>
              </w:rPr>
            </w:pPr>
            <w:r>
              <w:rPr>
                <w:rFonts w:cs="FrankRuehl"/>
                <w:sz w:val="28"/>
                <w:rtl/>
              </w:rPr>
              <w:t>העותר:</w:t>
            </w:r>
          </w:p>
        </w:tc>
        <w:tc>
          <w:tcPr>
            <w:tcW w:w="5238" w:type="dxa"/>
            <w:tcBorders>
              <w:top w:val="nil"/>
              <w:left w:val="nil"/>
              <w:bottom w:val="nil"/>
              <w:right w:val="nil"/>
            </w:tcBorders>
          </w:tcPr>
          <w:p w14:paraId="01B71D4B" w14:textId="77777777" w:rsidR="00000000" w:rsidRDefault="00B659DA">
            <w:pPr>
              <w:pStyle w:val="BodyRuller"/>
              <w:rPr>
                <w:rFonts w:cs="FrankRuehl"/>
              </w:rPr>
            </w:pPr>
            <w:r>
              <w:rPr>
                <w:rFonts w:cs="FrankRuehl"/>
                <w:sz w:val="28"/>
                <w:rtl/>
              </w:rPr>
              <w:t>ד"ר טל או</w:t>
            </w:r>
            <w:r>
              <w:rPr>
                <w:rFonts w:cs="FrankRuehl"/>
                <w:sz w:val="28"/>
                <w:rtl/>
              </w:rPr>
              <w:t>רבך</w:t>
            </w:r>
          </w:p>
        </w:tc>
      </w:tr>
    </w:tbl>
    <w:p w14:paraId="2C8141B1" w14:textId="77777777" w:rsidR="00000000" w:rsidRDefault="00B659DA">
      <w:pPr>
        <w:pStyle w:val="Ruller3"/>
        <w:rPr>
          <w:rFonts w:cs="FrankRuehl"/>
          <w:sz w:val="28"/>
          <w:rtl/>
        </w:rPr>
      </w:pPr>
      <w:r>
        <w:rPr>
          <w:rFonts w:cs="FrankRuehl"/>
        </w:rPr>
        <w:tab/>
      </w:r>
    </w:p>
    <w:tbl>
      <w:tblPr>
        <w:bidiVisual/>
        <w:tblW w:w="0" w:type="auto"/>
        <w:tblLook w:val="0000" w:firstRow="0" w:lastRow="0" w:firstColumn="0" w:lastColumn="0" w:noHBand="0" w:noVBand="0"/>
      </w:tblPr>
      <w:tblGrid>
        <w:gridCol w:w="3201"/>
        <w:gridCol w:w="5105"/>
      </w:tblGrid>
      <w:tr w:rsidR="00000000" w14:paraId="53D15313" w14:textId="77777777">
        <w:tc>
          <w:tcPr>
            <w:tcW w:w="3284" w:type="dxa"/>
            <w:tcBorders>
              <w:top w:val="nil"/>
              <w:left w:val="nil"/>
              <w:bottom w:val="nil"/>
              <w:right w:val="nil"/>
            </w:tcBorders>
          </w:tcPr>
          <w:p w14:paraId="75C200A9" w14:textId="77777777" w:rsidR="00000000" w:rsidRDefault="00B659DA">
            <w:pPr>
              <w:pStyle w:val="BodyRuller"/>
              <w:rPr>
                <w:rFonts w:cs="FrankRuehl"/>
              </w:rPr>
            </w:pPr>
            <w:r>
              <w:rPr>
                <w:rFonts w:cs="FrankRuehl"/>
              </w:rPr>
              <w:t> </w:t>
            </w:r>
          </w:p>
        </w:tc>
        <w:tc>
          <w:tcPr>
            <w:tcW w:w="5238" w:type="dxa"/>
            <w:tcBorders>
              <w:top w:val="nil"/>
              <w:left w:val="nil"/>
              <w:bottom w:val="nil"/>
              <w:right w:val="nil"/>
            </w:tcBorders>
          </w:tcPr>
          <w:p w14:paraId="2EA039AC" w14:textId="77777777" w:rsidR="00000000" w:rsidRDefault="00B659DA">
            <w:pPr>
              <w:pStyle w:val="BodyRuller"/>
              <w:rPr>
                <w:rFonts w:cs="FrankRuehl"/>
              </w:rPr>
            </w:pPr>
            <w:r>
              <w:rPr>
                <w:rFonts w:cs="FrankRuehl"/>
                <w:sz w:val="28"/>
                <w:rtl/>
              </w:rPr>
              <w:t>נ</w:t>
            </w:r>
            <w:r>
              <w:rPr>
                <w:rFonts w:cs="FrankRuehl"/>
              </w:rPr>
              <w:t xml:space="preserve">  </w:t>
            </w:r>
            <w:r>
              <w:rPr>
                <w:rFonts w:cs="FrankRuehl"/>
                <w:sz w:val="28"/>
                <w:rtl/>
              </w:rPr>
              <w:t>ג</w:t>
            </w:r>
            <w:r>
              <w:rPr>
                <w:rFonts w:cs="FrankRuehl"/>
              </w:rPr>
              <w:t xml:space="preserve">  </w:t>
            </w:r>
            <w:r>
              <w:rPr>
                <w:rFonts w:cs="FrankRuehl"/>
                <w:sz w:val="28"/>
                <w:rtl/>
              </w:rPr>
              <w:t>ד</w:t>
            </w:r>
          </w:p>
        </w:tc>
      </w:tr>
    </w:tbl>
    <w:p w14:paraId="206CE6B5" w14:textId="77777777" w:rsidR="00000000" w:rsidRDefault="00B659DA">
      <w:pPr>
        <w:pStyle w:val="Ruller3"/>
        <w:rPr>
          <w:rFonts w:cs="FrankRuehl"/>
          <w:sz w:val="28"/>
          <w:rtl/>
        </w:rPr>
      </w:pPr>
      <w:r>
        <w:rPr>
          <w:rFonts w:cs="FrankRuehl"/>
        </w:rPr>
        <w:tab/>
      </w:r>
      <w:r>
        <w:rPr>
          <w:rFonts w:cs="FrankRuehl"/>
        </w:rPr>
        <w:tab/>
      </w:r>
      <w:r>
        <w:rPr>
          <w:rFonts w:cs="FrankRuehl"/>
        </w:rPr>
        <w:tab/>
        <w:t xml:space="preserve">     </w:t>
      </w:r>
    </w:p>
    <w:tbl>
      <w:tblPr>
        <w:bidiVisual/>
        <w:tblW w:w="0" w:type="auto"/>
        <w:tblLook w:val="0000" w:firstRow="0" w:lastRow="0" w:firstColumn="0" w:lastColumn="0" w:noHBand="0" w:noVBand="0"/>
      </w:tblPr>
      <w:tblGrid>
        <w:gridCol w:w="3207"/>
        <w:gridCol w:w="5099"/>
      </w:tblGrid>
      <w:tr w:rsidR="00000000" w14:paraId="1C961F64" w14:textId="77777777">
        <w:tc>
          <w:tcPr>
            <w:tcW w:w="3284" w:type="dxa"/>
            <w:tcBorders>
              <w:top w:val="nil"/>
              <w:left w:val="nil"/>
              <w:bottom w:val="nil"/>
              <w:right w:val="nil"/>
            </w:tcBorders>
          </w:tcPr>
          <w:p w14:paraId="0CDB6953" w14:textId="77777777" w:rsidR="00000000" w:rsidRDefault="00B659DA">
            <w:pPr>
              <w:pStyle w:val="BodyRuller"/>
              <w:rPr>
                <w:rFonts w:cs="FrankRuehl"/>
              </w:rPr>
            </w:pPr>
            <w:r>
              <w:rPr>
                <w:rFonts w:cs="FrankRuehl"/>
                <w:sz w:val="28"/>
                <w:rtl/>
              </w:rPr>
              <w:t>המשיב:</w:t>
            </w:r>
          </w:p>
        </w:tc>
        <w:tc>
          <w:tcPr>
            <w:tcW w:w="5238" w:type="dxa"/>
            <w:tcBorders>
              <w:top w:val="nil"/>
              <w:left w:val="nil"/>
              <w:bottom w:val="nil"/>
              <w:right w:val="nil"/>
            </w:tcBorders>
          </w:tcPr>
          <w:p w14:paraId="58645823" w14:textId="77777777" w:rsidR="00000000" w:rsidRDefault="00B659DA">
            <w:pPr>
              <w:pStyle w:val="BodyRuller"/>
              <w:rPr>
                <w:rFonts w:cs="FrankRuehl"/>
              </w:rPr>
            </w:pPr>
            <w:r>
              <w:rPr>
                <w:rFonts w:cs="FrankRuehl"/>
                <w:sz w:val="28"/>
                <w:rtl/>
              </w:rPr>
              <w:t>רשם העמותות</w:t>
            </w:r>
          </w:p>
        </w:tc>
      </w:tr>
    </w:tbl>
    <w:p w14:paraId="463F0FA7" w14:textId="77777777" w:rsidR="00000000" w:rsidRDefault="00B659DA">
      <w:pPr>
        <w:pStyle w:val="Ruller3"/>
        <w:rPr>
          <w:rFonts w:cs="FrankRuehl"/>
          <w:sz w:val="28"/>
          <w:rtl/>
        </w:rPr>
      </w:pPr>
      <w:r>
        <w:rPr>
          <w:rFonts w:cs="FrankRuehl"/>
          <w:sz w:val="28"/>
          <w:rtl/>
        </w:rPr>
        <w:tab/>
      </w:r>
    </w:p>
    <w:tbl>
      <w:tblPr>
        <w:bidiVisual/>
        <w:tblW w:w="0" w:type="auto"/>
        <w:tblLook w:val="0000" w:firstRow="0" w:lastRow="0" w:firstColumn="0" w:lastColumn="0" w:noHBand="0" w:noVBand="0"/>
      </w:tblPr>
      <w:tblGrid>
        <w:gridCol w:w="5238"/>
      </w:tblGrid>
      <w:tr w:rsidR="00000000" w14:paraId="7C1A8685" w14:textId="77777777">
        <w:tc>
          <w:tcPr>
            <w:tcW w:w="5238" w:type="dxa"/>
            <w:tcBorders>
              <w:top w:val="nil"/>
              <w:left w:val="nil"/>
              <w:bottom w:val="nil"/>
              <w:right w:val="nil"/>
            </w:tcBorders>
          </w:tcPr>
          <w:p w14:paraId="7C4848B7" w14:textId="77777777" w:rsidR="00000000" w:rsidRDefault="00B659DA">
            <w:pPr>
              <w:pStyle w:val="BodyRuller"/>
              <w:rPr>
                <w:rFonts w:cs="FrankRuehl"/>
                <w:sz w:val="24"/>
                <w:szCs w:val="24"/>
              </w:rPr>
            </w:pPr>
            <w:r>
              <w:rPr>
                <w:rFonts w:cs="FrankRuehl"/>
                <w:sz w:val="24"/>
                <w:szCs w:val="24"/>
                <w:rtl/>
              </w:rPr>
              <w:t>עתירה למתן צו על תנאי וצו ביניים</w:t>
            </w:r>
          </w:p>
        </w:tc>
      </w:tr>
    </w:tbl>
    <w:p w14:paraId="20A787D7" w14:textId="77777777" w:rsidR="00000000" w:rsidRDefault="00B659DA">
      <w:pPr>
        <w:pStyle w:val="Ruller3"/>
        <w:rPr>
          <w:rFonts w:cs="FrankRuehl"/>
          <w:sz w:val="28"/>
          <w:rtl/>
        </w:rPr>
      </w:pPr>
      <w:r>
        <w:rPr>
          <w:rFonts w:cs="FrankRuehl"/>
          <w:sz w:val="28"/>
          <w:rtl/>
        </w:rPr>
        <w:tab/>
      </w:r>
    </w:p>
    <w:tbl>
      <w:tblPr>
        <w:bidiVisual/>
        <w:tblW w:w="8535" w:type="dxa"/>
        <w:tblInd w:w="-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57"/>
        <w:gridCol w:w="2301"/>
        <w:gridCol w:w="2977"/>
      </w:tblGrid>
      <w:tr w:rsidR="00000000" w14:paraId="6228B8A3" w14:textId="77777777">
        <w:tc>
          <w:tcPr>
            <w:tcW w:w="3257" w:type="dxa"/>
            <w:tcBorders>
              <w:top w:val="nil"/>
              <w:left w:val="nil"/>
              <w:bottom w:val="nil"/>
              <w:right w:val="nil"/>
            </w:tcBorders>
          </w:tcPr>
          <w:p w14:paraId="56130FC2" w14:textId="77777777" w:rsidR="00000000" w:rsidRDefault="00B659DA">
            <w:pPr>
              <w:pStyle w:val="BodyRuller"/>
              <w:rPr>
                <w:rFonts w:cs="FrankRuehl"/>
                <w:sz w:val="24"/>
                <w:szCs w:val="24"/>
              </w:rPr>
            </w:pPr>
            <w:r>
              <w:rPr>
                <w:rFonts w:cs="FrankRuehl"/>
                <w:sz w:val="24"/>
                <w:szCs w:val="24"/>
                <w:rtl/>
              </w:rPr>
              <w:t>תאריך הישיבה:</w:t>
            </w:r>
          </w:p>
        </w:tc>
        <w:tc>
          <w:tcPr>
            <w:tcW w:w="2301" w:type="dxa"/>
            <w:tcBorders>
              <w:top w:val="nil"/>
              <w:left w:val="nil"/>
              <w:bottom w:val="nil"/>
              <w:right w:val="nil"/>
            </w:tcBorders>
          </w:tcPr>
          <w:p w14:paraId="34505859" w14:textId="77777777" w:rsidR="00000000" w:rsidRDefault="00B659DA">
            <w:pPr>
              <w:pStyle w:val="BodyRuller"/>
              <w:rPr>
                <w:rFonts w:cs="FrankRuehl"/>
              </w:rPr>
            </w:pPr>
            <w:r>
              <w:rPr>
                <w:rFonts w:cs="FrankRuehl"/>
                <w:sz w:val="24"/>
                <w:szCs w:val="24"/>
                <w:rtl/>
              </w:rPr>
              <w:t>י"ח בחשוון התשס"ד</w:t>
            </w:r>
            <w:r>
              <w:rPr>
                <w:rFonts w:cs="FrankRuehl"/>
              </w:rPr>
              <w:t xml:space="preserve">      </w:t>
            </w:r>
          </w:p>
        </w:tc>
        <w:tc>
          <w:tcPr>
            <w:tcW w:w="2977" w:type="dxa"/>
            <w:tcBorders>
              <w:top w:val="nil"/>
              <w:left w:val="nil"/>
              <w:bottom w:val="nil"/>
              <w:right w:val="nil"/>
            </w:tcBorders>
          </w:tcPr>
          <w:p w14:paraId="095A2421" w14:textId="77777777" w:rsidR="00000000" w:rsidRDefault="00B659DA">
            <w:pPr>
              <w:pStyle w:val="BodyRuller"/>
              <w:rPr>
                <w:rFonts w:cs="FrankRuehl"/>
                <w:sz w:val="24"/>
                <w:szCs w:val="24"/>
              </w:rPr>
            </w:pPr>
            <w:r>
              <w:rPr>
                <w:rFonts w:cs="FrankRuehl"/>
              </w:rPr>
              <w:t xml:space="preserve">(13.11.03) </w:t>
            </w:r>
          </w:p>
        </w:tc>
      </w:tr>
    </w:tbl>
    <w:p w14:paraId="4F403D53" w14:textId="77777777" w:rsidR="00000000" w:rsidRDefault="00B659DA">
      <w:pPr>
        <w:pStyle w:val="Ruller3"/>
        <w:rPr>
          <w:rFonts w:cs="FrankRuehl"/>
          <w:sz w:val="28"/>
          <w:rtl/>
        </w:rPr>
      </w:pPr>
      <w:r>
        <w:rPr>
          <w:rFonts w:cs="FrankRuehl"/>
        </w:rPr>
        <w:t>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2"/>
        <w:gridCol w:w="5114"/>
      </w:tblGrid>
      <w:tr w:rsidR="00000000" w14:paraId="6FA958DD" w14:textId="77777777">
        <w:tc>
          <w:tcPr>
            <w:tcW w:w="3257" w:type="dxa"/>
            <w:tcBorders>
              <w:top w:val="nil"/>
              <w:left w:val="nil"/>
              <w:bottom w:val="nil"/>
              <w:right w:val="nil"/>
            </w:tcBorders>
          </w:tcPr>
          <w:p w14:paraId="6E7D7982" w14:textId="77777777" w:rsidR="00000000" w:rsidRDefault="00B659DA">
            <w:pPr>
              <w:pStyle w:val="BodyRuller"/>
              <w:rPr>
                <w:rFonts w:cs="FrankRuehl"/>
              </w:rPr>
            </w:pPr>
            <w:r>
              <w:rPr>
                <w:rFonts w:cs="FrankRuehl"/>
                <w:sz w:val="28"/>
                <w:rtl/>
              </w:rPr>
              <w:t>בשם העותר:</w:t>
            </w:r>
          </w:p>
        </w:tc>
        <w:tc>
          <w:tcPr>
            <w:tcW w:w="5238" w:type="dxa"/>
            <w:tcBorders>
              <w:top w:val="nil"/>
              <w:left w:val="nil"/>
              <w:bottom w:val="nil"/>
              <w:right w:val="nil"/>
            </w:tcBorders>
          </w:tcPr>
          <w:p w14:paraId="5EAB60B1" w14:textId="77777777" w:rsidR="00000000" w:rsidRDefault="00B659DA">
            <w:pPr>
              <w:pStyle w:val="BodyRuller"/>
              <w:rPr>
                <w:rFonts w:cs="FrankRuehl"/>
              </w:rPr>
            </w:pPr>
            <w:r>
              <w:rPr>
                <w:rFonts w:cs="FrankRuehl"/>
                <w:sz w:val="28"/>
                <w:rtl/>
              </w:rPr>
              <w:t xml:space="preserve">עו"ד ד"ר חיים משגב </w:t>
            </w:r>
          </w:p>
        </w:tc>
      </w:tr>
    </w:tbl>
    <w:p w14:paraId="4EC30C12" w14:textId="77777777" w:rsidR="00000000" w:rsidRDefault="00B659DA">
      <w:pPr>
        <w:pStyle w:val="Ruller3"/>
        <w:rPr>
          <w:rFonts w:cs="FrankRuehl"/>
          <w:sz w:val="28"/>
          <w:rtl/>
        </w:rPr>
      </w:pPr>
      <w:r>
        <w:rPr>
          <w:rFonts w:cs="FrankRuehl"/>
        </w:rPr>
        <w:t> </w:t>
      </w:r>
    </w:p>
    <w:tbl>
      <w:tblP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4"/>
        <w:gridCol w:w="5112"/>
      </w:tblGrid>
      <w:tr w:rsidR="00000000" w14:paraId="6425C7DB" w14:textId="77777777">
        <w:tc>
          <w:tcPr>
            <w:tcW w:w="3257" w:type="dxa"/>
            <w:tcBorders>
              <w:top w:val="nil"/>
              <w:left w:val="nil"/>
              <w:bottom w:val="nil"/>
              <w:right w:val="nil"/>
            </w:tcBorders>
          </w:tcPr>
          <w:p w14:paraId="2BB2FD0F" w14:textId="77777777" w:rsidR="00000000" w:rsidRDefault="00B659DA">
            <w:pPr>
              <w:pStyle w:val="BodyRuller"/>
              <w:rPr>
                <w:rFonts w:cs="FrankRuehl"/>
              </w:rPr>
            </w:pPr>
            <w:r>
              <w:rPr>
                <w:rFonts w:cs="FrankRuehl"/>
                <w:sz w:val="28"/>
                <w:rtl/>
              </w:rPr>
              <w:t>בשם המשיב:</w:t>
            </w:r>
          </w:p>
        </w:tc>
        <w:tc>
          <w:tcPr>
            <w:tcW w:w="5238" w:type="dxa"/>
            <w:tcBorders>
              <w:top w:val="nil"/>
              <w:left w:val="nil"/>
              <w:bottom w:val="nil"/>
              <w:right w:val="nil"/>
            </w:tcBorders>
          </w:tcPr>
          <w:p w14:paraId="0CA2FF38" w14:textId="77777777" w:rsidR="00000000" w:rsidRDefault="00B659DA">
            <w:pPr>
              <w:pStyle w:val="BodyRuller"/>
              <w:rPr>
                <w:rFonts w:cs="FrankRuehl"/>
              </w:rPr>
            </w:pPr>
            <w:r>
              <w:rPr>
                <w:rFonts w:cs="FrankRuehl"/>
                <w:sz w:val="28"/>
                <w:rtl/>
              </w:rPr>
              <w:t>עו"ד איל ינון</w:t>
            </w:r>
          </w:p>
        </w:tc>
      </w:tr>
    </w:tbl>
    <w:p w14:paraId="18710576" w14:textId="77777777" w:rsidR="00000000" w:rsidRDefault="00B659DA">
      <w:pPr>
        <w:tabs>
          <w:tab w:val="left" w:pos="2552"/>
        </w:tabs>
        <w:overflowPunct w:val="0"/>
        <w:autoSpaceDE w:val="0"/>
        <w:autoSpaceDN w:val="0"/>
        <w:adjustRightInd w:val="0"/>
        <w:rPr>
          <w:rFonts w:cs="FrankRuehl"/>
          <w:rtl/>
        </w:rPr>
      </w:pPr>
      <w:r>
        <w:rPr>
          <w:rFonts w:cs="FrankRuehl"/>
          <w:rtl/>
        </w:rPr>
        <w:t> </w:t>
      </w:r>
    </w:p>
    <w:p w14:paraId="42EB3EBB" w14:textId="77777777" w:rsidR="00000000" w:rsidRDefault="00B659DA">
      <w:pPr>
        <w:tabs>
          <w:tab w:val="left" w:pos="2552"/>
        </w:tabs>
        <w:overflowPunct w:val="0"/>
        <w:autoSpaceDE w:val="0"/>
        <w:autoSpaceDN w:val="0"/>
        <w:adjustRightInd w:val="0"/>
        <w:rPr>
          <w:rFonts w:cs="FrankRuehl"/>
          <w:rtl/>
        </w:rPr>
      </w:pPr>
      <w:r>
        <w:rPr>
          <w:rFonts w:cs="FrankRuehl"/>
        </w:rPr>
        <w:t> </w:t>
      </w:r>
    </w:p>
    <w:tbl>
      <w:tblPr>
        <w:bidiVisual/>
        <w:tblW w:w="0" w:type="auto"/>
        <w:tblLook w:val="0000" w:firstRow="0" w:lastRow="0" w:firstColumn="0" w:lastColumn="0" w:noHBand="0" w:noVBand="0"/>
      </w:tblPr>
      <w:tblGrid>
        <w:gridCol w:w="8306"/>
      </w:tblGrid>
      <w:tr w:rsidR="00000000" w14:paraId="05DEB45A" w14:textId="77777777">
        <w:tc>
          <w:tcPr>
            <w:tcW w:w="9837" w:type="dxa"/>
            <w:tcBorders>
              <w:top w:val="nil"/>
              <w:left w:val="nil"/>
              <w:bottom w:val="nil"/>
              <w:right w:val="nil"/>
            </w:tcBorders>
          </w:tcPr>
          <w:p w14:paraId="55D274FB" w14:textId="77777777" w:rsidR="00000000" w:rsidRDefault="00B659DA">
            <w:pPr>
              <w:pStyle w:val="DocumentHead"/>
              <w:rPr>
                <w:rFonts w:cs="FrankRuehl"/>
                <w:sz w:val="36"/>
                <w:szCs w:val="36"/>
              </w:rPr>
            </w:pPr>
            <w:r>
              <w:rPr>
                <w:rFonts w:cs="FrankRuehl"/>
                <w:sz w:val="36"/>
                <w:szCs w:val="36"/>
                <w:rtl/>
              </w:rPr>
              <w:t>פסק-דין</w:t>
            </w:r>
          </w:p>
        </w:tc>
      </w:tr>
    </w:tbl>
    <w:p w14:paraId="4BB99B24" w14:textId="77777777" w:rsidR="00000000" w:rsidRDefault="00B659DA">
      <w:pPr>
        <w:pStyle w:val="BODYVERDICT"/>
        <w:rPr>
          <w:rFonts w:cs="Miriam"/>
          <w:sz w:val="24"/>
          <w:szCs w:val="24"/>
          <w:u w:val="single"/>
          <w:rtl/>
        </w:rPr>
      </w:pPr>
      <w:r>
        <w:rPr>
          <w:rFonts w:cs="Miriam"/>
          <w:sz w:val="24"/>
          <w:szCs w:val="24"/>
          <w:u w:val="single"/>
          <w:rtl/>
        </w:rPr>
        <w:t>השופטת א' חיות:</w:t>
      </w:r>
    </w:p>
    <w:p w14:paraId="2A8181A1" w14:textId="77777777" w:rsidR="00000000" w:rsidRDefault="00B659DA">
      <w:pPr>
        <w:pStyle w:val="Ruller4"/>
        <w:rPr>
          <w:rFonts w:cs="FrankRuehl"/>
          <w:sz w:val="28"/>
          <w:rtl/>
        </w:rPr>
      </w:pPr>
      <w:r>
        <w:rPr>
          <w:rFonts w:cs="FrankRuehl"/>
          <w:sz w:val="28"/>
          <w:rtl/>
        </w:rPr>
        <w:t> </w:t>
      </w:r>
    </w:p>
    <w:p w14:paraId="4556D741" w14:textId="77777777" w:rsidR="00000000" w:rsidRDefault="00B659DA">
      <w:pPr>
        <w:pStyle w:val="Ruller4"/>
        <w:rPr>
          <w:rFonts w:ascii="Times New Roman" w:hAnsi="Times New Roman" w:cs="Miriam"/>
          <w:spacing w:val="0"/>
          <w:sz w:val="24"/>
          <w:szCs w:val="24"/>
          <w:rtl/>
        </w:rPr>
      </w:pPr>
      <w:r>
        <w:rPr>
          <w:rFonts w:ascii="Times New Roman" w:hAnsi="Times New Roman" w:cs="Miriam"/>
          <w:spacing w:val="0"/>
          <w:sz w:val="24"/>
          <w:szCs w:val="24"/>
          <w:rtl/>
        </w:rPr>
        <w:t>כללי</w:t>
      </w:r>
    </w:p>
    <w:p w14:paraId="2F8CA351" w14:textId="77777777" w:rsidR="00000000" w:rsidRDefault="00B659DA">
      <w:pPr>
        <w:pStyle w:val="Ruller4"/>
        <w:rPr>
          <w:rFonts w:cs="FrankRuehl"/>
          <w:sz w:val="28"/>
          <w:rtl/>
        </w:rPr>
      </w:pPr>
      <w:r>
        <w:rPr>
          <w:rFonts w:cs="FrankRuehl"/>
          <w:sz w:val="28"/>
          <w:rtl/>
        </w:rPr>
        <w:tab/>
        <w:t>העתירה שבפנינו עניינ</w:t>
      </w:r>
      <w:r>
        <w:rPr>
          <w:rFonts w:cs="FrankRuehl"/>
          <w:sz w:val="28"/>
          <w:rtl/>
        </w:rPr>
        <w:t>ה דרישת העותר, ד"ר טל אורבך, כי תבוטל החלטתו של המשיב, לפוסלו מלכהן כחבר בועד של "ארגון נפגעי פעולות האיבה – הארגון היציג" (להלן:</w:t>
      </w:r>
      <w:r>
        <w:rPr>
          <w:rFonts w:ascii="Times New Roman" w:hAnsi="Times New Roman" w:cs="Miriam"/>
          <w:spacing w:val="0"/>
          <w:sz w:val="24"/>
          <w:szCs w:val="24"/>
          <w:rtl/>
        </w:rPr>
        <w:t xml:space="preserve"> הארגון</w:t>
      </w:r>
      <w:r>
        <w:rPr>
          <w:rFonts w:cs="FrankRuehl"/>
          <w:sz w:val="28"/>
          <w:rtl/>
        </w:rPr>
        <w:t xml:space="preserve">), בשל הרשעותיו בעבירות פליליות המנויות בסעיף 33(א)(4) לחוק העמותות, התש"ם-1980 (להלן: </w:t>
      </w:r>
      <w:r>
        <w:rPr>
          <w:rFonts w:ascii="Times New Roman" w:hAnsi="Times New Roman" w:cs="Miriam"/>
          <w:spacing w:val="0"/>
          <w:sz w:val="24"/>
          <w:szCs w:val="24"/>
          <w:rtl/>
        </w:rPr>
        <w:t>חוק העמותות</w:t>
      </w:r>
      <w:r>
        <w:rPr>
          <w:rFonts w:cs="FrankRuehl"/>
          <w:sz w:val="28"/>
          <w:rtl/>
        </w:rPr>
        <w:t xml:space="preserve">). </w:t>
      </w:r>
    </w:p>
    <w:p w14:paraId="416237F0" w14:textId="77777777" w:rsidR="00000000" w:rsidRDefault="00B659DA">
      <w:pPr>
        <w:pStyle w:val="Ruller4"/>
        <w:rPr>
          <w:rFonts w:cs="FrankRuehl"/>
          <w:sz w:val="28"/>
          <w:rtl/>
        </w:rPr>
      </w:pPr>
      <w:r>
        <w:rPr>
          <w:rFonts w:cs="FrankRuehl"/>
          <w:sz w:val="28"/>
          <w:rtl/>
        </w:rPr>
        <w:t> </w:t>
      </w:r>
    </w:p>
    <w:p w14:paraId="7008C009" w14:textId="77777777" w:rsidR="00000000" w:rsidRDefault="00B659DA">
      <w:pPr>
        <w:pStyle w:val="Ruller4"/>
        <w:rPr>
          <w:rFonts w:ascii="Times New Roman" w:hAnsi="Times New Roman" w:cs="Miriam"/>
          <w:spacing w:val="0"/>
          <w:sz w:val="24"/>
          <w:szCs w:val="24"/>
          <w:rtl/>
        </w:rPr>
      </w:pPr>
      <w:r>
        <w:rPr>
          <w:rFonts w:ascii="Times New Roman" w:hAnsi="Times New Roman" w:cs="Miriam"/>
          <w:spacing w:val="0"/>
          <w:sz w:val="24"/>
          <w:szCs w:val="24"/>
          <w:rtl/>
        </w:rPr>
        <w:t>תמצית העובדות</w:t>
      </w:r>
    </w:p>
    <w:p w14:paraId="1ABC0EE9" w14:textId="77777777" w:rsidR="00000000" w:rsidRDefault="00B659DA">
      <w:pPr>
        <w:pStyle w:val="Ruller4"/>
        <w:rPr>
          <w:rFonts w:cs="FrankRuehl"/>
          <w:sz w:val="28"/>
          <w:rtl/>
        </w:rPr>
      </w:pPr>
      <w:r>
        <w:rPr>
          <w:rFonts w:cs="FrankRuehl"/>
          <w:sz w:val="28"/>
          <w:rtl/>
        </w:rPr>
        <w:t> </w:t>
      </w:r>
    </w:p>
    <w:p w14:paraId="3B94BB04" w14:textId="77777777" w:rsidR="00000000" w:rsidRDefault="00B659DA">
      <w:pPr>
        <w:pStyle w:val="Ruller4"/>
        <w:rPr>
          <w:rFonts w:cs="FrankRuehl"/>
          <w:sz w:val="28"/>
          <w:rtl/>
        </w:rPr>
      </w:pPr>
      <w:r>
        <w:rPr>
          <w:rFonts w:cs="FrankRuehl"/>
          <w:sz w:val="28"/>
          <w:rtl/>
        </w:rPr>
        <w:t>1.</w:t>
      </w:r>
      <w:r>
        <w:rPr>
          <w:rFonts w:cs="FrankRuehl"/>
          <w:sz w:val="28"/>
          <w:rtl/>
        </w:rPr>
        <w:tab/>
        <w:t>ביום 17.3.2002 נרצחה נועה אורבך ז"ל, בתו של העותר, בפיגוע ירי בפתח בית הספר שבו למדה בכפר סבא. בעקבות האירוע פעל העותר להנצחתה ואף הקים עמותה לנפגעי טרור הנקראת על שמה. במהלך שנת 2003 הציג העותר את מועמדותו לועד הארגון, ובבחירות כלליות לועד שהתקיימו ביו</w:t>
      </w:r>
      <w:r>
        <w:rPr>
          <w:rFonts w:cs="FrankRuehl"/>
          <w:sz w:val="28"/>
          <w:rtl/>
        </w:rPr>
        <w:t xml:space="preserve">ם 22.5.2003, נבחר העותר כנציג המשפחות השכולות בועד וכיו"ר הארגון. דא עקא, כחודש לאחר מכן, הודיע המשיב </w:t>
      </w:r>
      <w:r>
        <w:rPr>
          <w:rFonts w:cs="FrankRuehl"/>
          <w:sz w:val="28"/>
          <w:rtl/>
        </w:rPr>
        <w:lastRenderedPageBreak/>
        <w:t>לבא כוח העותר ולארגון, במכתבו מיום 17.6.2003, כי העותר פסול מלכהן בועד הארגון וכי כהונתו כחבר וכיו"ר הועד מופסקת לאלתר. המשיב ביסס את החלטתו על הוראת סעיף</w:t>
      </w:r>
      <w:r>
        <w:rPr>
          <w:rFonts w:cs="FrankRuehl"/>
          <w:sz w:val="28"/>
          <w:rtl/>
        </w:rPr>
        <w:t xml:space="preserve"> 33(א)(4) לחוק העמותות, הקובעת את פסלותו של אדם לכהונה כחבר ועד בעמותה או כחבר ועדת ביקורת בעמותה, אם הורשע באחת העבירות המנויות בה. וזו לשון ההוראה:</w:t>
      </w:r>
    </w:p>
    <w:p w14:paraId="53D74F09" w14:textId="77777777" w:rsidR="00000000" w:rsidRDefault="00B659DA">
      <w:pPr>
        <w:pStyle w:val="Ruller4"/>
        <w:rPr>
          <w:rFonts w:cs="FrankRuehl"/>
          <w:sz w:val="28"/>
          <w:rtl/>
        </w:rPr>
      </w:pPr>
      <w:r>
        <w:rPr>
          <w:rFonts w:cs="FrankRuehl"/>
          <w:sz w:val="28"/>
          <w:rtl/>
        </w:rPr>
        <w:t> </w:t>
      </w:r>
    </w:p>
    <w:p w14:paraId="05FFEA29" w14:textId="77777777" w:rsidR="00000000" w:rsidRDefault="00B659DA">
      <w:pPr>
        <w:pStyle w:val="Ruller5"/>
        <w:rPr>
          <w:rFonts w:cs="FrankRuehl"/>
          <w:sz w:val="28"/>
          <w:rtl/>
        </w:rPr>
      </w:pPr>
      <w:r>
        <w:rPr>
          <w:rFonts w:cs="FrankRuehl"/>
          <w:sz w:val="28"/>
          <w:rtl/>
        </w:rPr>
        <w:t xml:space="preserve">33. פסלות לכהונה </w:t>
      </w:r>
    </w:p>
    <w:p w14:paraId="45C6CADC" w14:textId="77777777" w:rsidR="00000000" w:rsidRDefault="00B659DA">
      <w:pPr>
        <w:pStyle w:val="Ruller4"/>
        <w:rPr>
          <w:rFonts w:cs="FrankRuehl"/>
          <w:sz w:val="28"/>
          <w:rtl/>
        </w:rPr>
      </w:pPr>
      <w:r>
        <w:rPr>
          <w:rFonts w:cs="FrankRuehl"/>
          <w:sz w:val="28"/>
          <w:rtl/>
        </w:rPr>
        <w:t> </w:t>
      </w:r>
    </w:p>
    <w:p w14:paraId="76613AF3" w14:textId="77777777" w:rsidR="00000000" w:rsidRDefault="00B659DA">
      <w:pPr>
        <w:pStyle w:val="Ruller5"/>
        <w:rPr>
          <w:rFonts w:cs="FrankRuehl"/>
          <w:sz w:val="28"/>
          <w:rtl/>
        </w:rPr>
      </w:pPr>
      <w:r>
        <w:rPr>
          <w:rFonts w:cs="FrankRuehl"/>
          <w:sz w:val="28"/>
          <w:rtl/>
        </w:rPr>
        <w:t xml:space="preserve">(א) לא יכהן כחבר הועד או כחבר ועדת הבקורת - </w:t>
      </w:r>
    </w:p>
    <w:p w14:paraId="0B1F851A" w14:textId="77777777" w:rsidR="00000000" w:rsidRDefault="00B659DA">
      <w:pPr>
        <w:pStyle w:val="Ruller5"/>
        <w:rPr>
          <w:rFonts w:cs="FrankRuehl"/>
          <w:sz w:val="28"/>
          <w:rtl/>
        </w:rPr>
      </w:pPr>
      <w:r>
        <w:rPr>
          <w:rFonts w:cs="FrankRuehl"/>
          <w:sz w:val="28"/>
          <w:rtl/>
        </w:rPr>
        <w:t> </w:t>
      </w:r>
    </w:p>
    <w:p w14:paraId="5341DDA2" w14:textId="77777777" w:rsidR="00000000" w:rsidRDefault="00B659DA">
      <w:pPr>
        <w:pStyle w:val="Ruller5"/>
        <w:ind w:firstLine="516"/>
        <w:rPr>
          <w:rFonts w:cs="FrankRuehl"/>
          <w:sz w:val="28"/>
          <w:rtl/>
        </w:rPr>
      </w:pPr>
      <w:r>
        <w:rPr>
          <w:rFonts w:cs="FrankRuehl"/>
          <w:sz w:val="28"/>
          <w:rtl/>
        </w:rPr>
        <w:t>(1) ......</w:t>
      </w:r>
    </w:p>
    <w:p w14:paraId="20E0699E" w14:textId="77777777" w:rsidR="00000000" w:rsidRDefault="00B659DA">
      <w:pPr>
        <w:pStyle w:val="Ruller4"/>
        <w:rPr>
          <w:rFonts w:cs="FrankRuehl"/>
          <w:sz w:val="28"/>
          <w:rtl/>
        </w:rPr>
      </w:pPr>
      <w:r>
        <w:rPr>
          <w:rFonts w:cs="FrankRuehl"/>
          <w:sz w:val="28"/>
          <w:rtl/>
        </w:rPr>
        <w:t> </w:t>
      </w:r>
    </w:p>
    <w:p w14:paraId="5C409D1A" w14:textId="77777777" w:rsidR="00000000" w:rsidRDefault="00B659DA">
      <w:pPr>
        <w:pStyle w:val="Ruller5"/>
        <w:ind w:left="2160"/>
        <w:rPr>
          <w:rFonts w:cs="FrankRuehl"/>
          <w:sz w:val="28"/>
          <w:rtl/>
        </w:rPr>
      </w:pPr>
      <w:r>
        <w:rPr>
          <w:rFonts w:cs="FrankRuehl"/>
          <w:sz w:val="28"/>
          <w:rtl/>
        </w:rPr>
        <w:t xml:space="preserve">(4) מי שהורשע בפסק דין </w:t>
      </w:r>
      <w:r>
        <w:rPr>
          <w:rFonts w:cs="FrankRuehl"/>
          <w:sz w:val="28"/>
          <w:rtl/>
        </w:rPr>
        <w:t>סופי בעבירה לפי סעיפים 290 עד 297 ו-414 עד 438 לחוק העונשין, התשל"ז-1977, או בעבירה אחרת שלדעת היועץ המשפטי לממשלה יש עמה קלון;</w:t>
      </w:r>
    </w:p>
    <w:p w14:paraId="35D7CBF5" w14:textId="77777777" w:rsidR="00000000" w:rsidRDefault="00B659DA">
      <w:pPr>
        <w:pStyle w:val="Ruller5"/>
        <w:ind w:left="2160"/>
        <w:rPr>
          <w:rFonts w:cs="FrankRuehl"/>
          <w:sz w:val="28"/>
          <w:rtl/>
        </w:rPr>
      </w:pPr>
      <w:r>
        <w:rPr>
          <w:rFonts w:cs="FrankRuehl"/>
          <w:sz w:val="28"/>
          <w:rtl/>
        </w:rPr>
        <w:t> </w:t>
      </w:r>
    </w:p>
    <w:p w14:paraId="32B843DB" w14:textId="77777777" w:rsidR="00000000" w:rsidRDefault="00B659DA">
      <w:pPr>
        <w:pStyle w:val="Ruller4"/>
        <w:rPr>
          <w:rFonts w:cs="FrankRuehl"/>
          <w:sz w:val="28"/>
          <w:rtl/>
        </w:rPr>
      </w:pPr>
      <w:r>
        <w:rPr>
          <w:rFonts w:cs="FrankRuehl"/>
          <w:sz w:val="28"/>
          <w:rtl/>
        </w:rPr>
        <w:t> </w:t>
      </w:r>
    </w:p>
    <w:p w14:paraId="620FF7D5" w14:textId="77777777" w:rsidR="00000000" w:rsidRDefault="00B659DA">
      <w:pPr>
        <w:pStyle w:val="Ruller4"/>
        <w:rPr>
          <w:rFonts w:cs="FrankRuehl"/>
          <w:sz w:val="28"/>
          <w:rtl/>
        </w:rPr>
      </w:pPr>
      <w:r>
        <w:rPr>
          <w:rFonts w:cs="FrankRuehl"/>
          <w:sz w:val="28"/>
          <w:rtl/>
        </w:rPr>
        <w:tab/>
        <w:t>על פי סעיף זה, פסול, אפוא, לכהונה כחבר ועד בעמותה מי שהורשע באיזו מעבירות המרמה המפורטות בסעיף, או בעבירה אחרת שיש עמה קלון</w:t>
      </w:r>
      <w:r>
        <w:rPr>
          <w:rFonts w:cs="FrankRuehl"/>
          <w:sz w:val="28"/>
          <w:rtl/>
        </w:rPr>
        <w:t xml:space="preserve">, לדעת היועץ המשפטי לממשלה. לצורך החלטתו במקרה שלפנינו, נסמך המשיב על נתוני המרשם הפלילי, מהם עולה כי בין השנים 1991 ל- 1998 הורשע העותר בארבע עבירות, ובהן שתי עבירות מרמה מבין אלה המנויות בסעיף 33(א)(4) לחוק העמותות (להלן: </w:t>
      </w:r>
      <w:r>
        <w:rPr>
          <w:rFonts w:ascii="Times New Roman" w:hAnsi="Times New Roman" w:cs="Miriam"/>
          <w:spacing w:val="0"/>
          <w:sz w:val="24"/>
          <w:szCs w:val="24"/>
          <w:rtl/>
        </w:rPr>
        <w:t>העבירות הפוסלות</w:t>
      </w:r>
      <w:r>
        <w:rPr>
          <w:rFonts w:cs="FrankRuehl"/>
          <w:sz w:val="28"/>
          <w:rtl/>
        </w:rPr>
        <w:t xml:space="preserve">). </w:t>
      </w:r>
    </w:p>
    <w:p w14:paraId="19A386F7" w14:textId="77777777" w:rsidR="00000000" w:rsidRDefault="00B659DA">
      <w:pPr>
        <w:pStyle w:val="Ruller4"/>
        <w:rPr>
          <w:rFonts w:cs="FrankRuehl"/>
          <w:sz w:val="28"/>
          <w:rtl/>
        </w:rPr>
      </w:pPr>
      <w:r>
        <w:rPr>
          <w:rFonts w:cs="FrankRuehl"/>
          <w:sz w:val="28"/>
          <w:rtl/>
        </w:rPr>
        <w:t> </w:t>
      </w:r>
    </w:p>
    <w:p w14:paraId="317D6A61" w14:textId="77777777" w:rsidR="00000000" w:rsidRDefault="00B659DA">
      <w:pPr>
        <w:pStyle w:val="Ruller4"/>
        <w:rPr>
          <w:rFonts w:cs="FrankRuehl"/>
          <w:sz w:val="28"/>
          <w:rtl/>
        </w:rPr>
      </w:pPr>
      <w:r>
        <w:rPr>
          <w:rFonts w:cs="FrankRuehl"/>
          <w:sz w:val="28"/>
          <w:rtl/>
        </w:rPr>
        <w:t>2.</w:t>
      </w:r>
      <w:r>
        <w:rPr>
          <w:rFonts w:cs="FrankRuehl"/>
          <w:sz w:val="28"/>
          <w:rtl/>
        </w:rPr>
        <w:tab/>
        <w:t>העותר מל</w:t>
      </w:r>
      <w:r>
        <w:rPr>
          <w:rFonts w:cs="FrankRuehl"/>
          <w:sz w:val="28"/>
          <w:rtl/>
        </w:rPr>
        <w:t>ין בפנינו על פסילתו לכהונה כחבר ועד הארגון. לטענתו הוראת סעיף 33(א)(4) לחוק העמותות, כלשונה, לוקה באי חוקתיות משום שהיא חוסמת לעולם ועד את דרכו של מי המבקש לכהן כחבר ועד בעמותה, בשל הרשעות פליליות בעברו. לגישתו, יש לקרוא אל תוך סעיף 33(א)(4) לחוק העמותות ה</w:t>
      </w:r>
      <w:r>
        <w:rPr>
          <w:rFonts w:cs="FrankRuehl"/>
          <w:sz w:val="28"/>
          <w:rtl/>
        </w:rPr>
        <w:t xml:space="preserve">וראות בדבר התיישנות עבירות, ברוח העקרונות הקבועים לעניין זה בחוק המרשם הפלילי ותקנת השבים התשמ"א-1981 (להלן: </w:t>
      </w:r>
      <w:r>
        <w:rPr>
          <w:rFonts w:ascii="Times New Roman" w:hAnsi="Times New Roman" w:cs="Miriam"/>
          <w:spacing w:val="0"/>
          <w:sz w:val="24"/>
          <w:szCs w:val="24"/>
          <w:rtl/>
        </w:rPr>
        <w:t>חוק המרשם הפלילי</w:t>
      </w:r>
      <w:r>
        <w:rPr>
          <w:rFonts w:cs="FrankRuehl"/>
          <w:sz w:val="28"/>
          <w:rtl/>
        </w:rPr>
        <w:t>), ולאפשר לאדם לשים את עברו מאחוריו ולמרק את חטאיו עם חלוף השנים, גם בהקשר של כהונה במוסדותיה של עמותה. העותר מוסיף וטוען כי חלפו כ</w:t>
      </w:r>
      <w:r>
        <w:rPr>
          <w:rFonts w:cs="FrankRuehl"/>
          <w:sz w:val="28"/>
          <w:rtl/>
        </w:rPr>
        <w:t>עשר שנים מאז הורשע לאחרונה בעבירה מן העבירות המנויות בסעיף 33(א)(4) לחוק העמותות, ומשלא נקבע על ידי היועץ המשפטי לממשלה ששתי העבירות הנוספות בהן הורשע, ב- 1994 וב-1998, יש עימן קלון, עומדת לו הזכות לכהן כחבר ועד בארגון ואין לשלול ממנו זכות זו.</w:t>
      </w:r>
      <w:r>
        <w:rPr>
          <w:rFonts w:cs="FrankRuehl"/>
          <w:color w:val="FFFFFF"/>
          <w:sz w:val="16"/>
          <w:szCs w:val="16"/>
          <w:rtl/>
        </w:rPr>
        <w:t>60221</w:t>
      </w:r>
    </w:p>
    <w:p w14:paraId="3366CB01" w14:textId="77777777" w:rsidR="00000000" w:rsidRDefault="00B659DA">
      <w:pPr>
        <w:pStyle w:val="Ruller4"/>
        <w:rPr>
          <w:rFonts w:cs="FrankRuehl"/>
          <w:sz w:val="28"/>
          <w:rtl/>
        </w:rPr>
      </w:pPr>
      <w:r>
        <w:rPr>
          <w:rFonts w:cs="FrankRuehl"/>
          <w:sz w:val="28"/>
          <w:rtl/>
        </w:rPr>
        <w:lastRenderedPageBreak/>
        <w:t> </w:t>
      </w:r>
    </w:p>
    <w:p w14:paraId="0986AEF2" w14:textId="77777777" w:rsidR="00000000" w:rsidRDefault="00B659DA">
      <w:pPr>
        <w:pStyle w:val="Ruller4"/>
        <w:rPr>
          <w:rFonts w:cs="FrankRuehl"/>
          <w:sz w:val="28"/>
          <w:rtl/>
        </w:rPr>
      </w:pPr>
      <w:r>
        <w:rPr>
          <w:rFonts w:cs="FrankRuehl"/>
          <w:sz w:val="28"/>
          <w:rtl/>
        </w:rPr>
        <w:t>3.</w:t>
      </w:r>
      <w:r>
        <w:rPr>
          <w:rFonts w:cs="FrankRuehl"/>
          <w:sz w:val="28"/>
          <w:rtl/>
        </w:rPr>
        <w:tab/>
        <w:t>המ</w:t>
      </w:r>
      <w:r>
        <w:rPr>
          <w:rFonts w:cs="FrankRuehl"/>
          <w:sz w:val="28"/>
          <w:rtl/>
        </w:rPr>
        <w:t>שיב אינו חולק על גישתו של העותר לפיה יש לתחום בזמן את ההגבלה על כשירותו של אדם לשמש כחבר ועד בעמותה, בשל הרשעה בעבירות המנויות בסעיף 33(א)(4) לחוק העמותות. המשיב אף מקבל את עמדת העותר לפיה העקרונות שיש ליישם בהקשר זה, הם אלה הקבועים בסעיף 14 לחוק המרשם הפל</w:t>
      </w:r>
      <w:r>
        <w:rPr>
          <w:rFonts w:cs="FrankRuehl"/>
          <w:sz w:val="28"/>
          <w:rtl/>
        </w:rPr>
        <w:t xml:space="preserve">ילי. סעיף זה מחיל הגבלות על מסירת מידע מן המרשם הפלילי לגופים הרשאים לקבלו, וביניהם רשם העמותות, בחלוף פרקי הזמן הקבועים באותו סעיף. </w:t>
      </w:r>
    </w:p>
    <w:p w14:paraId="0EF23BA1" w14:textId="77777777" w:rsidR="00000000" w:rsidRDefault="00B659DA">
      <w:pPr>
        <w:pStyle w:val="Ruller4"/>
        <w:rPr>
          <w:rFonts w:cs="FrankRuehl"/>
          <w:sz w:val="28"/>
          <w:rtl/>
        </w:rPr>
      </w:pPr>
      <w:r>
        <w:rPr>
          <w:rFonts w:cs="FrankRuehl"/>
          <w:sz w:val="28"/>
          <w:rtl/>
        </w:rPr>
        <w:t> </w:t>
      </w:r>
    </w:p>
    <w:p w14:paraId="7DE64E6D" w14:textId="77777777" w:rsidR="00000000" w:rsidRDefault="00B659DA">
      <w:pPr>
        <w:pStyle w:val="Ruller4"/>
        <w:rPr>
          <w:rFonts w:cs="FrankRuehl"/>
          <w:sz w:val="28"/>
          <w:rtl/>
        </w:rPr>
      </w:pPr>
      <w:r>
        <w:rPr>
          <w:rFonts w:cs="FrankRuehl"/>
          <w:sz w:val="28"/>
          <w:rtl/>
        </w:rPr>
        <w:tab/>
        <w:t xml:space="preserve">נבחן, אפוא, את טענת ההתיישנות שהעלה העותר לאור העקרונות הקבועים בסעיף 14 לחוק המרשם הפלילי. </w:t>
      </w:r>
    </w:p>
    <w:p w14:paraId="075B9B9F" w14:textId="77777777" w:rsidR="00000000" w:rsidRDefault="00B659DA">
      <w:pPr>
        <w:pStyle w:val="Ruller4"/>
        <w:rPr>
          <w:rFonts w:cs="FrankRuehl"/>
          <w:sz w:val="28"/>
          <w:rtl/>
        </w:rPr>
      </w:pPr>
      <w:r>
        <w:rPr>
          <w:rFonts w:cs="FrankRuehl"/>
          <w:sz w:val="28"/>
          <w:rtl/>
        </w:rPr>
        <w:t> </w:t>
      </w:r>
    </w:p>
    <w:p w14:paraId="606DC527" w14:textId="77777777" w:rsidR="00000000" w:rsidRDefault="00B659DA">
      <w:pPr>
        <w:pStyle w:val="Ruller4"/>
        <w:rPr>
          <w:rFonts w:cs="FrankRuehl"/>
          <w:sz w:val="28"/>
          <w:rtl/>
        </w:rPr>
      </w:pPr>
      <w:r>
        <w:rPr>
          <w:rFonts w:cs="FrankRuehl"/>
          <w:sz w:val="28"/>
          <w:rtl/>
        </w:rPr>
        <w:tab/>
        <w:t>החלטת הפסילה נשוא העתיר</w:t>
      </w:r>
      <w:r>
        <w:rPr>
          <w:rFonts w:cs="FrankRuehl"/>
          <w:sz w:val="28"/>
          <w:rtl/>
        </w:rPr>
        <w:t>ה שבפנינו התייחסה, כאמור, לשתי עבירות מירמה, בהן הורשע העותר בשנים 1991 ו- 1993 – הן 'העבירות הפוסלות'. עבירות אלה, התיישנו לטענת העותר בעת שרשם העמותות פסל אותו מלכהן כחבר ועד בארגון ועל כן, לא היה מקום לבסס עליהן את החלטת הפסילה. המשיב מצידו אינו חולק על</w:t>
      </w:r>
      <w:r>
        <w:rPr>
          <w:rFonts w:cs="FrankRuehl"/>
          <w:sz w:val="28"/>
          <w:rtl/>
        </w:rPr>
        <w:t xml:space="preserve"> כך שתקופת ההתיישנות החלה לגבי 'העבירות הפוסלות' הינה בת שבע שנים, כקבוע בסעיף 14(א)(1) ו- (4) לחוק המרשם הפלילי. אולם, נוכח הרשעותיו הנוספות של העותר מ-1994 ומ- 1998, מוסיף המשיב וטוען כי חלה בעניין זה הוראת סעיף 14(ד) לחוק המרשם הפלילי, הקובעת כי:</w:t>
      </w:r>
    </w:p>
    <w:p w14:paraId="6E315151" w14:textId="77777777" w:rsidR="00000000" w:rsidRDefault="00B659DA">
      <w:pPr>
        <w:pStyle w:val="Ruller4"/>
        <w:rPr>
          <w:rFonts w:cs="FrankRuehl"/>
          <w:sz w:val="28"/>
          <w:rtl/>
        </w:rPr>
      </w:pPr>
      <w:r>
        <w:rPr>
          <w:rFonts w:cs="FrankRuehl"/>
          <w:sz w:val="28"/>
          <w:rtl/>
        </w:rPr>
        <w:t> </w:t>
      </w:r>
    </w:p>
    <w:p w14:paraId="75097CB2" w14:textId="77777777" w:rsidR="00000000" w:rsidRDefault="00B659DA">
      <w:pPr>
        <w:pStyle w:val="Ruller5"/>
        <w:rPr>
          <w:rFonts w:cs="FrankRuehl"/>
          <w:sz w:val="28"/>
          <w:rtl/>
        </w:rPr>
      </w:pPr>
      <w:r>
        <w:rPr>
          <w:rFonts w:cs="FrankRuehl"/>
          <w:sz w:val="28"/>
          <w:rtl/>
        </w:rPr>
        <w:t>אם ב</w:t>
      </w:r>
      <w:r>
        <w:rPr>
          <w:rFonts w:cs="FrankRuehl"/>
          <w:sz w:val="28"/>
          <w:rtl/>
        </w:rPr>
        <w:t xml:space="preserve">תקופת ההתיישנות הורשע אדם בעבירה או ניתנה עליו קביעה כאמור בסעיף 2(3), יימסר מידע על ההרשעה הקודמת כל עוד לא תמה תקופת ההתיישנות של ההרשעה הנוספת או של הקביעה. </w:t>
      </w:r>
    </w:p>
    <w:p w14:paraId="0801A4A4" w14:textId="77777777" w:rsidR="00000000" w:rsidRDefault="00B659DA">
      <w:pPr>
        <w:pStyle w:val="Ruller4"/>
        <w:rPr>
          <w:rFonts w:cs="FrankRuehl"/>
          <w:sz w:val="28"/>
          <w:rtl/>
        </w:rPr>
      </w:pPr>
      <w:r>
        <w:rPr>
          <w:rFonts w:cs="FrankRuehl"/>
          <w:sz w:val="28"/>
          <w:rtl/>
        </w:rPr>
        <w:t> </w:t>
      </w:r>
    </w:p>
    <w:p w14:paraId="4215D150" w14:textId="77777777" w:rsidR="00000000" w:rsidRDefault="00B659DA">
      <w:pPr>
        <w:pStyle w:val="Ruller4"/>
        <w:rPr>
          <w:rFonts w:cs="FrankRuehl"/>
          <w:sz w:val="28"/>
          <w:rtl/>
        </w:rPr>
      </w:pPr>
      <w:r>
        <w:rPr>
          <w:rFonts w:cs="FrankRuehl"/>
          <w:sz w:val="28"/>
          <w:rtl/>
        </w:rPr>
        <w:tab/>
        <w:t xml:space="preserve">מתוקף הוראה זו, כך לטענת המשיב, מתבטלות לאחור כל מגבלות ההתיישנות שהוטלו על מסירת מידע בגין </w:t>
      </w:r>
      <w:r>
        <w:rPr>
          <w:rFonts w:cs="FrankRuehl"/>
          <w:sz w:val="28"/>
          <w:rtl/>
        </w:rPr>
        <w:t xml:space="preserve">עבירותיו של העותר. בהקשר זה מציין המשיב בתגובתו כי מאז הרשעתו הראשונה בשנת 1972, ועד הרשעתו האחרונה בשנת 1998, עבר העותר שרשרת עבירות, ובהן עבירות מרמה, אשר בגין כל אחת מהן הורשע עוד בטרם נקפה תקופת ההתיישנות של העבירה שקדמה לה. על כן, כך טוען המשיב, ניתן </w:t>
      </w:r>
      <w:r>
        <w:rPr>
          <w:rFonts w:cs="FrankRuehl"/>
          <w:sz w:val="28"/>
          <w:rtl/>
        </w:rPr>
        <w:t xml:space="preserve">היה להביא לידיעתו את המידע האגור במרשם הפלילי, לגבי כל העבירות שעבר העותר מאז שנת 1972 ואילך. </w:t>
      </w:r>
    </w:p>
    <w:p w14:paraId="5A0BCA92" w14:textId="77777777" w:rsidR="00000000" w:rsidRDefault="00B659DA">
      <w:pPr>
        <w:pStyle w:val="Ruller4"/>
        <w:rPr>
          <w:rFonts w:cs="FrankRuehl"/>
          <w:sz w:val="28"/>
          <w:rtl/>
        </w:rPr>
      </w:pPr>
      <w:r>
        <w:rPr>
          <w:rFonts w:cs="FrankRuehl"/>
          <w:sz w:val="28"/>
          <w:rtl/>
        </w:rPr>
        <w:t> </w:t>
      </w:r>
    </w:p>
    <w:p w14:paraId="11671B15" w14:textId="77777777" w:rsidR="00000000" w:rsidRDefault="00B659DA">
      <w:pPr>
        <w:pStyle w:val="Ruller4"/>
        <w:rPr>
          <w:rFonts w:cs="FrankRuehl"/>
          <w:sz w:val="28"/>
          <w:rtl/>
        </w:rPr>
      </w:pPr>
      <w:r>
        <w:rPr>
          <w:rFonts w:cs="FrankRuehl"/>
          <w:sz w:val="28"/>
          <w:rtl/>
        </w:rPr>
        <w:lastRenderedPageBreak/>
        <w:t>4.</w:t>
      </w:r>
      <w:r>
        <w:rPr>
          <w:rFonts w:cs="FrankRuehl"/>
          <w:sz w:val="28"/>
          <w:rtl/>
        </w:rPr>
        <w:tab/>
        <w:t>האמנם, כטענת המשיב, מתבטלות לאחור, בשרשרת, מגבלות ההתיישנות הקבועות בסעיף 14(א) לחוק המרשם הפלילי, עד העבירה הראשונה בה הורשע העותר בשנת 1972, נוכח הסייג לה</w:t>
      </w:r>
      <w:r>
        <w:rPr>
          <w:rFonts w:cs="FrankRuehl"/>
          <w:sz w:val="28"/>
          <w:rtl/>
        </w:rPr>
        <w:t xml:space="preserve">תיישנות שבסעיף 14(ד) לחוק, או שמא, כטענת העותר, מתבטלת מגבלת ההתיישנות לאחור פעם אחת בלבד, רק באשר לאותן הרשעות אשר במהלך תקופת התיישנותן </w:t>
      </w:r>
      <w:r>
        <w:rPr>
          <w:rFonts w:ascii="Times New Roman" w:hAnsi="Times New Roman" w:cs="FrankRuehl"/>
          <w:sz w:val="28"/>
          <w:rtl/>
        </w:rPr>
        <w:t>המקורית לפי סעיף 14(א),</w:t>
      </w:r>
      <w:r>
        <w:rPr>
          <w:rFonts w:cs="FrankRuehl"/>
          <w:sz w:val="28"/>
          <w:rtl/>
        </w:rPr>
        <w:t xml:space="preserve"> נעברה העבירה הנוספת? ניתן להשאיר שאלה זו בצריך עיון, משום שלצורך ההכרעה במקרה שבפנינו, די בכך </w:t>
      </w:r>
      <w:r>
        <w:rPr>
          <w:rFonts w:cs="FrankRuehl"/>
          <w:sz w:val="28"/>
          <w:rtl/>
        </w:rPr>
        <w:t>שעל-פי סעיף 14(ד) לחוק המרשם הפלילי, הוארכה תקופת ההתיישנות לגבי 'העבירות הפוסלות' בהן הורשע העותר, בשל העבירה הנוספת בה הורשע בשנת 1998, הרשעה שתקופת התיישנותה - שבע שנים. הארכה זו, מסירה עד שנת 2005 את מגבלת ההתיישנות לגבי 'העבירות הפוסלות' ובהיותן עבירו</w:t>
      </w:r>
      <w:r>
        <w:rPr>
          <w:rFonts w:cs="FrankRuehl"/>
          <w:sz w:val="28"/>
          <w:rtl/>
        </w:rPr>
        <w:t>ת מרמה, רשאי היה המשיב להסתמך עליהן לצורך פסילתו של המשיב מלכהן כחבר ועד הארגון, על פי סעיף 33 לחוק העמותות.</w:t>
      </w:r>
    </w:p>
    <w:p w14:paraId="3B86B884" w14:textId="77777777" w:rsidR="00000000" w:rsidRDefault="00B659DA">
      <w:pPr>
        <w:pStyle w:val="Ruller4"/>
        <w:rPr>
          <w:rFonts w:cs="FrankRuehl"/>
          <w:sz w:val="28"/>
          <w:rtl/>
        </w:rPr>
      </w:pPr>
      <w:r>
        <w:rPr>
          <w:rFonts w:cs="FrankRuehl"/>
          <w:sz w:val="28"/>
          <w:rtl/>
        </w:rPr>
        <w:t> </w:t>
      </w:r>
    </w:p>
    <w:p w14:paraId="3A616929" w14:textId="77777777" w:rsidR="00000000" w:rsidRDefault="00B659DA">
      <w:pPr>
        <w:pStyle w:val="Ruller4"/>
        <w:rPr>
          <w:rFonts w:cs="FrankRuehl"/>
          <w:sz w:val="28"/>
          <w:rtl/>
        </w:rPr>
      </w:pPr>
      <w:r>
        <w:rPr>
          <w:rFonts w:cs="FrankRuehl"/>
          <w:sz w:val="28"/>
          <w:rtl/>
        </w:rPr>
        <w:tab/>
        <w:t>בטיעוניו בפנינו ניסה בא-כוח העותר ליצור הבחנה בין יישום עקרונות ההתיישנות שבחוק המרשם הפלילי, וביניהם הסייג שבסעיף 14(ד) לחוק, על עבירות בדרך כל</w:t>
      </w:r>
      <w:r>
        <w:rPr>
          <w:rFonts w:cs="FrankRuehl"/>
          <w:sz w:val="28"/>
          <w:rtl/>
        </w:rPr>
        <w:t>ל, לעומת יישומם על עבירות המנויות בסעיף 33 לחוק העמותות; לגישתו, אין להחיל את הסייג להתיישנות שבסעיף 14(ד) לחוק המרשם הפלילי, מקום שבו העבירה הנוספת איננה עבירה מבין העבירות המנויות בסעיף 33 לחוק העמותות. במילים אחרות: יש לאפשר לעותר ליהנות מהתיישנותן של ע</w:t>
      </w:r>
      <w:r>
        <w:rPr>
          <w:rFonts w:cs="FrankRuehl"/>
          <w:sz w:val="28"/>
          <w:rtl/>
        </w:rPr>
        <w:t xml:space="preserve">בירות המרמה שעבר בשנת 1991 ובשנת 1993, ואין לפסלו מלכהן כחבר ועד הארגון בשנת 2003, משום שהעבירה הנוספת שעבר בשנת 1998, אינה נכללת בין העבירות המנויות בסעיף 33 לחוק העמותות. גישה זו אין לקבל. ההסדר הנורמטיבי שבסעיף 14 לחוק המרשם הפלילי הוא הסדר כללי, העוסק </w:t>
      </w:r>
      <w:r>
        <w:rPr>
          <w:rFonts w:cs="FrankRuehl"/>
          <w:sz w:val="28"/>
          <w:rtl/>
        </w:rPr>
        <w:t>בהתיישנות עבירות, ובבואנו ליישם הסדר זה על הוראת הפסילה שבחוק העמותות, יש ליישמו בשלמות ואין להפריד בין הוראותיו או לגזור ממנו חלקים. אכן, ההיגיון והתכלית שביסוד סעיף 14(ד) לחוק המרשם הפלילי הוא בכך שאדם, אשר תוך כדי מרוץ תקופת ההתיישנות חוזר לסורו ועובר ע</w:t>
      </w:r>
      <w:r>
        <w:rPr>
          <w:rFonts w:cs="FrankRuehl"/>
          <w:sz w:val="28"/>
          <w:rtl/>
        </w:rPr>
        <w:t>בירה, כל עבירה, אין לראותו כמי שפתח דף חדש בחייו ועל כן, מן הראוי שהסטיגמה הפלילית תמשיך ללוותו לפרק זמן נוסף, עד שתתיישן העבירה הנוספת שעבר. פועלה של הסטיגמה הפלילית שנושא העותר הוא, בין השאר, בכך שנחסמה דרכו מלכהן כחבר ועד הארגון, על פי ההוראות הספציפיות</w:t>
      </w:r>
      <w:r>
        <w:rPr>
          <w:rFonts w:cs="FrankRuehl"/>
          <w:sz w:val="28"/>
          <w:rtl/>
        </w:rPr>
        <w:t xml:space="preserve"> שבחוק העמותות.</w:t>
      </w:r>
    </w:p>
    <w:p w14:paraId="460C0F21" w14:textId="77777777" w:rsidR="00000000" w:rsidRDefault="00B659DA">
      <w:pPr>
        <w:pStyle w:val="Ruller4"/>
        <w:rPr>
          <w:rFonts w:cs="FrankRuehl"/>
          <w:sz w:val="28"/>
          <w:rtl/>
        </w:rPr>
      </w:pPr>
      <w:r>
        <w:rPr>
          <w:rFonts w:cs="FrankRuehl"/>
          <w:sz w:val="28"/>
          <w:rtl/>
        </w:rPr>
        <w:t> </w:t>
      </w:r>
    </w:p>
    <w:p w14:paraId="57AD3888" w14:textId="77777777" w:rsidR="00000000" w:rsidRDefault="00B659DA">
      <w:pPr>
        <w:pStyle w:val="Ruller4"/>
        <w:rPr>
          <w:rFonts w:cs="FrankRuehl"/>
          <w:sz w:val="28"/>
          <w:rtl/>
        </w:rPr>
      </w:pPr>
      <w:r>
        <w:rPr>
          <w:rFonts w:cs="FrankRuehl"/>
          <w:sz w:val="28"/>
          <w:rtl/>
        </w:rPr>
        <w:t>5.</w:t>
      </w:r>
      <w:r>
        <w:rPr>
          <w:rFonts w:cs="FrankRuehl"/>
          <w:sz w:val="28"/>
          <w:rtl/>
        </w:rPr>
        <w:tab/>
        <w:t xml:space="preserve">נוכח הטעמים שפורטו לעיל, דין העתירה להידחות. </w:t>
      </w:r>
    </w:p>
    <w:p w14:paraId="2B5EA78D" w14:textId="77777777" w:rsidR="00000000" w:rsidRDefault="00B659DA">
      <w:pPr>
        <w:pStyle w:val="Ruller4"/>
        <w:rPr>
          <w:rFonts w:cs="FrankRuehl"/>
          <w:sz w:val="28"/>
          <w:rtl/>
        </w:rPr>
      </w:pPr>
      <w:r>
        <w:rPr>
          <w:rFonts w:cs="FrankRuehl"/>
          <w:sz w:val="28"/>
          <w:rtl/>
        </w:rPr>
        <w:t> </w:t>
      </w:r>
    </w:p>
    <w:p w14:paraId="694EA682" w14:textId="77777777" w:rsidR="00000000" w:rsidRDefault="00B659DA">
      <w:pPr>
        <w:pStyle w:val="Ruller4"/>
        <w:rPr>
          <w:rFonts w:cs="FrankRuehl"/>
          <w:sz w:val="28"/>
          <w:rtl/>
        </w:rPr>
      </w:pPr>
      <w:r>
        <w:rPr>
          <w:rFonts w:cs="FrankRuehl"/>
          <w:sz w:val="28"/>
          <w:rtl/>
        </w:rPr>
        <w:lastRenderedPageBreak/>
        <w:tab/>
        <w:t>אין צו להוצאות.</w:t>
      </w:r>
    </w:p>
    <w:p w14:paraId="0956C4B6" w14:textId="77777777" w:rsidR="00000000" w:rsidRDefault="00B659DA">
      <w:pPr>
        <w:pStyle w:val="Ruller4"/>
        <w:rPr>
          <w:rFonts w:cs="FrankRuehl"/>
          <w:sz w:val="28"/>
          <w:rtl/>
        </w:rPr>
      </w:pPr>
      <w:r>
        <w:rPr>
          <w:rFonts w:cs="FrankRuehl"/>
          <w:sz w:val="28"/>
          <w:rtl/>
        </w:rPr>
        <w:t> </w:t>
      </w:r>
    </w:p>
    <w:p w14:paraId="60C53AC7" w14:textId="77777777" w:rsidR="00000000" w:rsidRDefault="00B659DA">
      <w:pPr>
        <w:pStyle w:val="Ruller4"/>
        <w:rPr>
          <w:rFonts w:cs="FrankRuehl"/>
          <w:sz w:val="28"/>
          <w:rtl/>
        </w:rPr>
      </w:pP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t>ש ו פ ט ת</w:t>
      </w:r>
    </w:p>
    <w:p w14:paraId="096CDB22" w14:textId="77777777" w:rsidR="00000000" w:rsidRDefault="00B659DA">
      <w:pPr>
        <w:pStyle w:val="Ruller4"/>
        <w:rPr>
          <w:rFonts w:cs="FrankRuehl"/>
          <w:sz w:val="28"/>
          <w:rtl/>
        </w:rPr>
      </w:pPr>
      <w:r>
        <w:rPr>
          <w:rFonts w:cs="FrankRuehl"/>
          <w:sz w:val="28"/>
          <w:rtl/>
        </w:rPr>
        <w:t> </w:t>
      </w:r>
    </w:p>
    <w:p w14:paraId="301F5DFA" w14:textId="77777777" w:rsidR="00000000" w:rsidRDefault="00B659DA">
      <w:pPr>
        <w:pStyle w:val="Ruller4"/>
        <w:rPr>
          <w:rFonts w:cs="FrankRuehl"/>
          <w:sz w:val="28"/>
          <w:rtl/>
        </w:rPr>
      </w:pPr>
      <w:r>
        <w:rPr>
          <w:rFonts w:cs="FrankRuehl"/>
          <w:sz w:val="28"/>
          <w:rtl/>
        </w:rPr>
        <w:t> </w:t>
      </w:r>
    </w:p>
    <w:p w14:paraId="3E650342" w14:textId="77777777" w:rsidR="00000000" w:rsidRDefault="00B659DA">
      <w:pPr>
        <w:pStyle w:val="Ruller4"/>
        <w:rPr>
          <w:rFonts w:cs="Miriam"/>
          <w:sz w:val="24"/>
          <w:szCs w:val="24"/>
          <w:rtl/>
        </w:rPr>
      </w:pPr>
      <w:r>
        <w:rPr>
          <w:rFonts w:cs="Miriam"/>
          <w:sz w:val="24"/>
          <w:szCs w:val="24"/>
          <w:u w:val="single"/>
          <w:rtl/>
        </w:rPr>
        <w:t>המשנה לנשיא, השופט ת' אור</w:t>
      </w:r>
      <w:r>
        <w:rPr>
          <w:rFonts w:cs="Miriam"/>
          <w:sz w:val="24"/>
          <w:szCs w:val="24"/>
          <w:rtl/>
        </w:rPr>
        <w:t>:</w:t>
      </w:r>
    </w:p>
    <w:p w14:paraId="443AC0BC" w14:textId="77777777" w:rsidR="00000000" w:rsidRDefault="00B659DA">
      <w:pPr>
        <w:pStyle w:val="Ruller4"/>
        <w:rPr>
          <w:rFonts w:cs="FrankRuehl"/>
          <w:sz w:val="28"/>
          <w:rtl/>
        </w:rPr>
      </w:pPr>
      <w:r>
        <w:rPr>
          <w:rFonts w:cs="FrankRuehl"/>
          <w:sz w:val="28"/>
          <w:rtl/>
        </w:rPr>
        <w:t> </w:t>
      </w:r>
    </w:p>
    <w:p w14:paraId="1D00CA42" w14:textId="77777777" w:rsidR="00000000" w:rsidRDefault="00B659DA">
      <w:pPr>
        <w:pStyle w:val="Ruller4"/>
        <w:rPr>
          <w:rFonts w:cs="FrankRuehl"/>
          <w:sz w:val="28"/>
          <w:rtl/>
        </w:rPr>
      </w:pPr>
      <w:r>
        <w:rPr>
          <w:rFonts w:cs="FrankRuehl"/>
          <w:sz w:val="28"/>
          <w:rtl/>
        </w:rPr>
        <w:tab/>
        <w:t xml:space="preserve">אני מסכים. </w:t>
      </w:r>
    </w:p>
    <w:p w14:paraId="425C1746" w14:textId="77777777" w:rsidR="00000000" w:rsidRDefault="00B659DA">
      <w:pPr>
        <w:pStyle w:val="Ruller4"/>
        <w:rPr>
          <w:rFonts w:cs="FrankRuehl"/>
          <w:sz w:val="28"/>
          <w:rtl/>
        </w:rPr>
      </w:pPr>
      <w:r>
        <w:rPr>
          <w:rFonts w:cs="FrankRuehl"/>
          <w:sz w:val="28"/>
          <w:rtl/>
        </w:rPr>
        <w:t> </w:t>
      </w:r>
    </w:p>
    <w:p w14:paraId="61F5B557" w14:textId="77777777" w:rsidR="00000000" w:rsidRDefault="00B659DA">
      <w:pPr>
        <w:pStyle w:val="Ruller4"/>
        <w:rPr>
          <w:rFonts w:cs="FrankRuehl"/>
          <w:sz w:val="28"/>
          <w:rtl/>
        </w:rPr>
      </w:pPr>
      <w:r>
        <w:rPr>
          <w:rFonts w:cs="FrankRuehl"/>
          <w:sz w:val="28"/>
          <w:rtl/>
        </w:rPr>
        <w:t> </w:t>
      </w:r>
    </w:p>
    <w:p w14:paraId="2A3AAD70" w14:textId="77777777" w:rsidR="00000000" w:rsidRDefault="00B659DA">
      <w:pPr>
        <w:pStyle w:val="Ruller4"/>
        <w:rPr>
          <w:rFonts w:cs="FrankRuehl"/>
          <w:sz w:val="28"/>
          <w:rtl/>
        </w:rPr>
      </w:pP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t xml:space="preserve">המשנה לנשיא </w:t>
      </w:r>
    </w:p>
    <w:p w14:paraId="281C6B92" w14:textId="77777777" w:rsidR="00000000" w:rsidRDefault="00B659DA">
      <w:pPr>
        <w:pStyle w:val="Ruller4"/>
        <w:rPr>
          <w:rFonts w:cs="FrankRuehl"/>
          <w:sz w:val="28"/>
          <w:rtl/>
        </w:rPr>
      </w:pPr>
      <w:r>
        <w:rPr>
          <w:rFonts w:cs="FrankRuehl"/>
          <w:sz w:val="28"/>
          <w:rtl/>
        </w:rPr>
        <w:t> </w:t>
      </w:r>
    </w:p>
    <w:p w14:paraId="65577742" w14:textId="77777777" w:rsidR="00000000" w:rsidRDefault="00B659DA">
      <w:pPr>
        <w:pStyle w:val="Ruller4"/>
        <w:rPr>
          <w:rFonts w:cs="Miriam"/>
          <w:sz w:val="24"/>
          <w:szCs w:val="24"/>
          <w:rtl/>
        </w:rPr>
      </w:pPr>
      <w:r>
        <w:rPr>
          <w:rFonts w:cs="Miriam"/>
          <w:sz w:val="24"/>
          <w:szCs w:val="24"/>
          <w:u w:val="single"/>
          <w:rtl/>
        </w:rPr>
        <w:t>השופט א' א' לוי</w:t>
      </w:r>
      <w:r>
        <w:rPr>
          <w:rFonts w:cs="Miriam"/>
          <w:sz w:val="24"/>
          <w:szCs w:val="24"/>
          <w:rtl/>
        </w:rPr>
        <w:t>:</w:t>
      </w:r>
    </w:p>
    <w:p w14:paraId="67871A28" w14:textId="77777777" w:rsidR="00000000" w:rsidRDefault="00B659DA">
      <w:pPr>
        <w:pStyle w:val="Ruller4"/>
        <w:rPr>
          <w:rFonts w:cs="FrankRuehl"/>
          <w:sz w:val="28"/>
          <w:rtl/>
        </w:rPr>
      </w:pPr>
      <w:r>
        <w:rPr>
          <w:rFonts w:cs="FrankRuehl"/>
          <w:sz w:val="28"/>
          <w:rtl/>
        </w:rPr>
        <w:t> </w:t>
      </w:r>
    </w:p>
    <w:p w14:paraId="4503620C" w14:textId="77777777" w:rsidR="00000000" w:rsidRDefault="00B659DA">
      <w:pPr>
        <w:pStyle w:val="Ruller4"/>
        <w:rPr>
          <w:rFonts w:cs="FrankRuehl"/>
          <w:sz w:val="28"/>
          <w:rtl/>
        </w:rPr>
      </w:pPr>
      <w:r>
        <w:rPr>
          <w:rFonts w:cs="FrankRuehl"/>
          <w:sz w:val="28"/>
          <w:rtl/>
        </w:rPr>
        <w:tab/>
        <w:t xml:space="preserve">אני מסכים. </w:t>
      </w:r>
    </w:p>
    <w:p w14:paraId="2DD54751" w14:textId="77777777" w:rsidR="00000000" w:rsidRDefault="00B659DA">
      <w:pPr>
        <w:pStyle w:val="Ruller4"/>
        <w:rPr>
          <w:rFonts w:cs="FrankRuehl"/>
          <w:sz w:val="28"/>
          <w:rtl/>
        </w:rPr>
      </w:pPr>
      <w:r>
        <w:rPr>
          <w:rFonts w:cs="FrankRuehl"/>
          <w:sz w:val="28"/>
          <w:rtl/>
        </w:rPr>
        <w:t> </w:t>
      </w:r>
    </w:p>
    <w:p w14:paraId="6A1DC9E9" w14:textId="77777777" w:rsidR="00000000" w:rsidRDefault="00B659DA">
      <w:pPr>
        <w:pStyle w:val="Ruller4"/>
        <w:rPr>
          <w:rFonts w:cs="FrankRuehl"/>
          <w:sz w:val="28"/>
          <w:rtl/>
        </w:rPr>
      </w:pP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r>
      <w:r>
        <w:rPr>
          <w:rFonts w:cs="FrankRuehl"/>
          <w:sz w:val="28"/>
          <w:rtl/>
        </w:rPr>
        <w:tab/>
        <w:t xml:space="preserve">ש ו פ ט </w:t>
      </w:r>
    </w:p>
    <w:p w14:paraId="13D7E788" w14:textId="77777777" w:rsidR="00000000" w:rsidRDefault="00B659DA">
      <w:pPr>
        <w:pStyle w:val="Ruller4"/>
        <w:rPr>
          <w:rFonts w:cs="FrankRuehl"/>
          <w:sz w:val="28"/>
          <w:rtl/>
        </w:rPr>
      </w:pPr>
      <w:r>
        <w:rPr>
          <w:rFonts w:cs="FrankRuehl"/>
          <w:sz w:val="28"/>
          <w:rtl/>
        </w:rPr>
        <w:t> </w:t>
      </w:r>
    </w:p>
    <w:p w14:paraId="5CDA17DC" w14:textId="77777777" w:rsidR="00000000" w:rsidRDefault="00B659DA">
      <w:pPr>
        <w:pStyle w:val="Ruller4"/>
        <w:rPr>
          <w:rFonts w:cs="FrankRuehl"/>
          <w:sz w:val="28"/>
          <w:rtl/>
        </w:rPr>
      </w:pPr>
      <w:r>
        <w:rPr>
          <w:rFonts w:cs="FrankRuehl"/>
          <w:sz w:val="28"/>
          <w:rtl/>
        </w:rPr>
        <w:t> </w:t>
      </w:r>
    </w:p>
    <w:p w14:paraId="35D22964" w14:textId="77777777" w:rsidR="00000000" w:rsidRDefault="00B659DA">
      <w:pPr>
        <w:pStyle w:val="Ruller4"/>
        <w:rPr>
          <w:rFonts w:cs="FrankRuehl"/>
          <w:sz w:val="28"/>
          <w:rtl/>
        </w:rPr>
      </w:pPr>
      <w:r>
        <w:rPr>
          <w:rFonts w:cs="FrankRuehl"/>
          <w:sz w:val="28"/>
          <w:rtl/>
        </w:rPr>
        <w:tab/>
        <w:t>הוחלט כאמור בפס</w:t>
      </w:r>
      <w:r>
        <w:rPr>
          <w:rFonts w:cs="FrankRuehl"/>
          <w:sz w:val="28"/>
          <w:rtl/>
        </w:rPr>
        <w:t xml:space="preserve">ק-דינה של השופטת א' חיות. </w:t>
      </w:r>
    </w:p>
    <w:p w14:paraId="5A8AAC54" w14:textId="77777777" w:rsidR="00000000" w:rsidRDefault="00B659DA">
      <w:pPr>
        <w:pStyle w:val="Ruller4"/>
        <w:rPr>
          <w:rFonts w:cs="FrankRuehl"/>
          <w:sz w:val="28"/>
          <w:rtl/>
        </w:rPr>
      </w:pPr>
      <w:r>
        <w:rPr>
          <w:rFonts w:cs="FrankRuehl"/>
          <w:sz w:val="28"/>
          <w:rtl/>
        </w:rPr>
        <w:t> </w:t>
      </w:r>
    </w:p>
    <w:p w14:paraId="15020BE7" w14:textId="77777777" w:rsidR="00000000" w:rsidRDefault="00B659DA">
      <w:pPr>
        <w:pStyle w:val="Ruller4"/>
        <w:rPr>
          <w:rFonts w:cs="FrankRuehl"/>
          <w:sz w:val="28"/>
          <w:rtl/>
        </w:rPr>
      </w:pPr>
      <w:r>
        <w:rPr>
          <w:rFonts w:cs="FrankRuehl"/>
          <w:sz w:val="28"/>
          <w:rtl/>
        </w:rPr>
        <w:tab/>
        <w:t xml:space="preserve">ניתן היום, ב' כסלו התשס"ד (27.11.03). </w:t>
      </w:r>
    </w:p>
    <w:p w14:paraId="0A8F5A4A" w14:textId="77777777" w:rsidR="00000000" w:rsidRDefault="00B659DA">
      <w:pPr>
        <w:pStyle w:val="Ruller4"/>
        <w:rPr>
          <w:rFonts w:cs="FrankRuehl"/>
          <w:sz w:val="28"/>
          <w:rtl/>
        </w:rPr>
      </w:pPr>
      <w:r>
        <w:rPr>
          <w:rFonts w:cs="FrankRuehl"/>
          <w:sz w:val="28"/>
          <w:rtl/>
        </w:rPr>
        <w:t> </w:t>
      </w:r>
    </w:p>
    <w:p w14:paraId="3887734B" w14:textId="77777777" w:rsidR="00000000" w:rsidRDefault="00B659DA">
      <w:pPr>
        <w:pStyle w:val="Ruller4"/>
        <w:rPr>
          <w:rFonts w:cs="FrankRuehl"/>
          <w:sz w:val="28"/>
          <w:rtl/>
        </w:rPr>
      </w:pPr>
      <w:r>
        <w:rPr>
          <w:rFonts w:cs="FrankRuehl"/>
          <w:sz w:val="28"/>
          <w:rtl/>
        </w:rPr>
        <w:t> </w:t>
      </w:r>
    </w:p>
    <w:p w14:paraId="3F5ED6BE" w14:textId="77777777" w:rsidR="00000000" w:rsidRDefault="00B659DA">
      <w:pPr>
        <w:pStyle w:val="Ruller4"/>
        <w:rPr>
          <w:rFonts w:cs="FrankRuehl"/>
          <w:sz w:val="28"/>
          <w:rtl/>
        </w:rPr>
      </w:pPr>
      <w:r>
        <w:rPr>
          <w:rFonts w:cs="FrankRuehl"/>
          <w:sz w:val="28"/>
          <w:rtl/>
        </w:rPr>
        <w:tab/>
        <w:t xml:space="preserve">המשנה לנשיא  </w:t>
      </w:r>
      <w:r>
        <w:rPr>
          <w:rFonts w:cs="FrankRuehl"/>
          <w:sz w:val="28"/>
          <w:rtl/>
        </w:rPr>
        <w:tab/>
      </w:r>
      <w:r>
        <w:rPr>
          <w:rFonts w:cs="FrankRuehl"/>
          <w:sz w:val="28"/>
          <w:rtl/>
        </w:rPr>
        <w:tab/>
      </w:r>
      <w:r>
        <w:rPr>
          <w:rFonts w:cs="FrankRuehl"/>
          <w:sz w:val="28"/>
          <w:rtl/>
        </w:rPr>
        <w:tab/>
        <w:t xml:space="preserve">ש ו פ ט  </w:t>
      </w:r>
      <w:r>
        <w:rPr>
          <w:rFonts w:cs="FrankRuehl"/>
          <w:sz w:val="28"/>
          <w:rtl/>
        </w:rPr>
        <w:tab/>
      </w:r>
      <w:r>
        <w:rPr>
          <w:rFonts w:cs="FrankRuehl"/>
          <w:sz w:val="28"/>
          <w:rtl/>
        </w:rPr>
        <w:tab/>
      </w:r>
      <w:r>
        <w:rPr>
          <w:rFonts w:cs="FrankRuehl"/>
          <w:sz w:val="28"/>
          <w:rtl/>
        </w:rPr>
        <w:tab/>
        <w:t>ש ו פ ט ת</w:t>
      </w:r>
    </w:p>
    <w:p w14:paraId="34611057" w14:textId="77777777" w:rsidR="00000000" w:rsidRDefault="00B659DA">
      <w:pPr>
        <w:pStyle w:val="Ruller4"/>
        <w:rPr>
          <w:rFonts w:cs="FrankRuehl"/>
          <w:sz w:val="28"/>
          <w:rtl/>
        </w:rPr>
      </w:pPr>
      <w:r>
        <w:rPr>
          <w:rFonts w:cs="FrankRuehl"/>
          <w:sz w:val="28"/>
          <w:rtl/>
        </w:rPr>
        <w:t> </w:t>
      </w:r>
    </w:p>
    <w:p w14:paraId="0ABCA0DE" w14:textId="77777777" w:rsidR="00000000" w:rsidRDefault="00B659DA">
      <w:pPr>
        <w:pStyle w:val="Ruller4"/>
        <w:rPr>
          <w:rFonts w:cs="FrankRuehl"/>
          <w:sz w:val="28"/>
          <w:rtl/>
        </w:rPr>
      </w:pPr>
      <w:r>
        <w:rPr>
          <w:rFonts w:cs="FrankRuehl"/>
          <w:sz w:val="28"/>
          <w:rtl/>
        </w:rPr>
        <w:t> </w:t>
      </w:r>
    </w:p>
    <w:p w14:paraId="01740E2A" w14:textId="77777777" w:rsidR="00000000" w:rsidRDefault="00B659DA">
      <w:pPr>
        <w:pStyle w:val="Ruller4"/>
        <w:rPr>
          <w:rFonts w:cs="FrankRuehl"/>
          <w:sz w:val="28"/>
          <w:rtl/>
        </w:rPr>
      </w:pPr>
      <w:r>
        <w:rPr>
          <w:rFonts w:cs="FrankRuehl"/>
          <w:sz w:val="28"/>
          <w:rtl/>
        </w:rPr>
        <w:t> </w:t>
      </w:r>
    </w:p>
    <w:p w14:paraId="5C50067F" w14:textId="77777777" w:rsidR="00000000" w:rsidRDefault="00B659DA">
      <w:pPr>
        <w:overflowPunct w:val="0"/>
        <w:autoSpaceDE w:val="0"/>
        <w:autoSpaceDN w:val="0"/>
        <w:adjustRightInd w:val="0"/>
        <w:rPr>
          <w:rFonts w:cs="David"/>
          <w:sz w:val="16"/>
          <w:szCs w:val="16"/>
          <w:rtl/>
        </w:rPr>
      </w:pPr>
      <w:r>
        <w:rPr>
          <w:sz w:val="16"/>
          <w:szCs w:val="16"/>
          <w:rtl/>
        </w:rPr>
        <w:t>_________________________</w:t>
      </w:r>
    </w:p>
    <w:p w14:paraId="05161A8C" w14:textId="77777777" w:rsidR="00000000" w:rsidRDefault="00B659DA">
      <w:pPr>
        <w:pStyle w:val="Ruller38"/>
        <w:rPr>
          <w:rFonts w:cs="David"/>
          <w:sz w:val="16"/>
          <w:rtl/>
        </w:rPr>
      </w:pPr>
      <w:r>
        <w:rPr>
          <w:rFonts w:cs="David"/>
          <w:sz w:val="16"/>
          <w:rtl/>
        </w:rPr>
        <w:t>העותק כפוף לשינויי עריכה וניסוח.</w:t>
      </w:r>
      <w:r>
        <w:rPr>
          <w:rFonts w:cs="David"/>
          <w:sz w:val="16"/>
        </w:rPr>
        <w:t xml:space="preserve">   03060520_V04.doc</w:t>
      </w:r>
    </w:p>
    <w:p w14:paraId="3C0514B9" w14:textId="77777777" w:rsidR="00000000" w:rsidRDefault="00B659DA">
      <w:pPr>
        <w:pStyle w:val="Ruller38"/>
        <w:rPr>
          <w:rFonts w:cs="David"/>
          <w:sz w:val="16"/>
          <w:rtl/>
        </w:rPr>
      </w:pPr>
      <w:r>
        <w:rPr>
          <w:rFonts w:cs="David"/>
          <w:sz w:val="16"/>
          <w:rtl/>
        </w:rPr>
        <w:t xml:space="preserve">מרכז מידע, טל' 02-6750444 ; אתר אינטרנט,  </w:t>
      </w:r>
      <w:hyperlink r:id="rId4" w:history="1">
        <w:r>
          <w:rPr>
            <w:rStyle w:val="Hyperlink"/>
            <w:rFonts w:cs="David"/>
            <w:sz w:val="16"/>
          </w:rPr>
          <w:t>www.court.gov.il</w:t>
        </w:r>
      </w:hyperlink>
    </w:p>
    <w:p w14:paraId="29F8C8F6" w14:textId="77777777" w:rsidR="00B659DA" w:rsidRDefault="00B659DA"/>
    <w:sectPr w:rsidR="00B659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charset w:val="00"/>
    <w:family w:val="swiss"/>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5B"/>
    <w:rsid w:val="000D5C5B"/>
    <w:rsid w:val="00B6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77DDA"/>
  <w14:defaultImageDpi w14:val="0"/>
  <w15:docId w15:val="{4D6B333E-6BDE-46EA-9311-6393634C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0" w:line="240" w:lineRule="auto"/>
    </w:pPr>
    <w:rPr>
      <w:rFonts w:ascii="Times New Roman" w:hAnsi="Times New Roman" w:cs="Times New Roman"/>
      <w:sz w:val="24"/>
      <w:szCs w:val="24"/>
      <w:lang w:eastAsia="he-IL"/>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Pr>
      <w:rFonts w:cs="Times New Roman"/>
      <w:color w:val="0000FF"/>
      <w:u w:val="single"/>
    </w:rPr>
  </w:style>
  <w:style w:type="character" w:styleId="FollowedHyperlink">
    <w:name w:val="FollowedHyperlink"/>
    <w:basedOn w:val="a0"/>
    <w:uiPriority w:val="99"/>
    <w:rPr>
      <w:rFonts w:cs="Times New Roman"/>
      <w:color w:val="800080"/>
      <w:u w:val="single"/>
    </w:rPr>
  </w:style>
  <w:style w:type="paragraph" w:styleId="a3">
    <w:name w:val="header"/>
    <w:basedOn w:val="a"/>
    <w:link w:val="a4"/>
    <w:uiPriority w:val="99"/>
    <w:pPr>
      <w:tabs>
        <w:tab w:val="center" w:pos="4153"/>
        <w:tab w:val="right" w:pos="8306"/>
      </w:tabs>
      <w:overflowPunct w:val="0"/>
      <w:autoSpaceDE w:val="0"/>
      <w:autoSpaceDN w:val="0"/>
      <w:adjustRightInd w:val="0"/>
    </w:pPr>
    <w:rPr>
      <w:rFonts w:eastAsia="Times New Roman"/>
      <w:sz w:val="20"/>
    </w:rPr>
  </w:style>
  <w:style w:type="character" w:customStyle="1" w:styleId="a4">
    <w:name w:val="כותרת עליונה תו"/>
    <w:basedOn w:val="a0"/>
    <w:link w:val="a3"/>
    <w:uiPriority w:val="99"/>
    <w:semiHidden/>
    <w:rPr>
      <w:rFonts w:ascii="Times New Roman" w:hAnsi="Times New Roman" w:cs="Times New Roman"/>
      <w:sz w:val="24"/>
      <w:szCs w:val="24"/>
      <w:lang w:eastAsia="he-IL"/>
    </w:rPr>
  </w:style>
  <w:style w:type="paragraph" w:styleId="a5">
    <w:name w:val="footer"/>
    <w:basedOn w:val="a"/>
    <w:link w:val="a6"/>
    <w:uiPriority w:val="99"/>
    <w:pPr>
      <w:tabs>
        <w:tab w:val="center" w:pos="4153"/>
        <w:tab w:val="right" w:pos="8306"/>
      </w:tabs>
      <w:overflowPunct w:val="0"/>
      <w:autoSpaceDE w:val="0"/>
      <w:autoSpaceDN w:val="0"/>
      <w:adjustRightInd w:val="0"/>
    </w:pPr>
    <w:rPr>
      <w:rFonts w:eastAsia="Times New Roman"/>
      <w:sz w:val="20"/>
    </w:rPr>
  </w:style>
  <w:style w:type="character" w:customStyle="1" w:styleId="a6">
    <w:name w:val="כותרת תחתונה תו"/>
    <w:basedOn w:val="a0"/>
    <w:link w:val="a5"/>
    <w:uiPriority w:val="99"/>
    <w:semiHidden/>
    <w:rPr>
      <w:rFonts w:ascii="Times New Roman" w:hAnsi="Times New Roman" w:cs="Times New Roman"/>
      <w:sz w:val="24"/>
      <w:szCs w:val="24"/>
      <w:lang w:eastAsia="he-IL"/>
    </w:rPr>
  </w:style>
  <w:style w:type="paragraph" w:customStyle="1" w:styleId="Ruller3">
    <w:name w:val="Ruller 3"/>
    <w:basedOn w:val="a"/>
    <w:uiPriority w:val="99"/>
    <w:pPr>
      <w:tabs>
        <w:tab w:val="left" w:pos="3210"/>
        <w:tab w:val="left" w:pos="6753"/>
      </w:tabs>
      <w:overflowPunct w:val="0"/>
      <w:autoSpaceDE w:val="0"/>
      <w:autoSpaceDN w:val="0"/>
      <w:adjustRightInd w:val="0"/>
      <w:spacing w:line="360" w:lineRule="auto"/>
    </w:pPr>
    <w:rPr>
      <w:rFonts w:eastAsia="Times New Roman"/>
      <w:spacing w:val="10"/>
      <w:sz w:val="22"/>
      <w:szCs w:val="28"/>
    </w:rPr>
  </w:style>
  <w:style w:type="paragraph" w:customStyle="1" w:styleId="Pskdinhead">
    <w:name w:val="Pskdin head"/>
    <w:basedOn w:val="a"/>
    <w:uiPriority w:val="99"/>
    <w:pPr>
      <w:overflowPunct w:val="0"/>
      <w:autoSpaceDE w:val="0"/>
      <w:autoSpaceDN w:val="0"/>
      <w:adjustRightInd w:val="0"/>
      <w:spacing w:line="360" w:lineRule="auto"/>
    </w:pPr>
    <w:rPr>
      <w:rFonts w:eastAsia="Times New Roman"/>
      <w:b/>
      <w:bCs/>
      <w:sz w:val="20"/>
      <w:u w:val="single"/>
    </w:rPr>
  </w:style>
  <w:style w:type="paragraph" w:customStyle="1" w:styleId="FileNumber">
    <w:name w:val="File Number"/>
    <w:basedOn w:val="a"/>
    <w:uiPriority w:val="99"/>
    <w:pPr>
      <w:overflowPunct w:val="0"/>
      <w:autoSpaceDE w:val="0"/>
      <w:autoSpaceDN w:val="0"/>
      <w:adjustRightInd w:val="0"/>
      <w:spacing w:line="360" w:lineRule="auto"/>
      <w:jc w:val="right"/>
    </w:pPr>
    <w:rPr>
      <w:rFonts w:eastAsia="Times New Roman"/>
      <w:bCs/>
      <w:sz w:val="20"/>
    </w:rPr>
  </w:style>
  <w:style w:type="paragraph" w:customStyle="1" w:styleId="FirstpagestylePsakdin">
    <w:name w:val="First page style Psak din"/>
    <w:basedOn w:val="Ruller3"/>
    <w:uiPriority w:val="99"/>
    <w:pPr>
      <w:tabs>
        <w:tab w:val="clear" w:pos="3210"/>
        <w:tab w:val="left" w:pos="3209"/>
      </w:tabs>
    </w:pPr>
    <w:rPr>
      <w:bCs/>
    </w:rPr>
  </w:style>
  <w:style w:type="paragraph" w:customStyle="1" w:styleId="TyutaDate">
    <w:name w:val="Tyuta Date"/>
    <w:basedOn w:val="a"/>
    <w:uiPriority w:val="99"/>
    <w:pPr>
      <w:overflowPunct w:val="0"/>
      <w:autoSpaceDE w:val="0"/>
      <w:autoSpaceDN w:val="0"/>
      <w:adjustRightInd w:val="0"/>
      <w:jc w:val="center"/>
    </w:pPr>
    <w:rPr>
      <w:rFonts w:eastAsia="Times New Roman"/>
      <w:b/>
      <w:bCs/>
      <w:i/>
      <w:iCs/>
      <w:sz w:val="28"/>
      <w:szCs w:val="28"/>
    </w:rPr>
  </w:style>
  <w:style w:type="paragraph" w:customStyle="1" w:styleId="DocumentHead">
    <w:name w:val="Document Head"/>
    <w:basedOn w:val="a"/>
    <w:uiPriority w:val="99"/>
    <w:pPr>
      <w:overflowPunct w:val="0"/>
      <w:autoSpaceDE w:val="0"/>
      <w:autoSpaceDN w:val="0"/>
      <w:adjustRightInd w:val="0"/>
      <w:spacing w:line="360" w:lineRule="auto"/>
      <w:jc w:val="center"/>
    </w:pPr>
    <w:rPr>
      <w:rFonts w:eastAsia="Times New Roman"/>
      <w:bCs/>
      <w:spacing w:val="30"/>
      <w:sz w:val="20"/>
      <w:szCs w:val="28"/>
      <w:u w:val="single"/>
    </w:rPr>
  </w:style>
  <w:style w:type="paragraph" w:customStyle="1" w:styleId="TfutzaList">
    <w:name w:val="Tfutza List"/>
    <w:basedOn w:val="a"/>
    <w:uiPriority w:val="99"/>
    <w:pPr>
      <w:overflowPunct w:val="0"/>
      <w:autoSpaceDE w:val="0"/>
      <w:autoSpaceDN w:val="0"/>
      <w:adjustRightInd w:val="0"/>
    </w:pPr>
    <w:rPr>
      <w:rFonts w:eastAsia="Times New Roman"/>
      <w:i/>
      <w:iCs/>
      <w:sz w:val="20"/>
    </w:rPr>
  </w:style>
  <w:style w:type="paragraph" w:customStyle="1" w:styleId="Ruller4">
    <w:name w:val="Ruller4"/>
    <w:basedOn w:val="a"/>
    <w:uiPriority w:val="99"/>
    <w:pPr>
      <w:tabs>
        <w:tab w:val="left" w:pos="800"/>
      </w:tabs>
      <w:overflowPunct w:val="0"/>
      <w:autoSpaceDE w:val="0"/>
      <w:autoSpaceDN w:val="0"/>
      <w:adjustRightInd w:val="0"/>
      <w:spacing w:line="360" w:lineRule="auto"/>
      <w:jc w:val="both"/>
    </w:pPr>
    <w:rPr>
      <w:rFonts w:ascii="Arial TUR" w:eastAsia="Times New Roman" w:hAnsi="Arial TUR"/>
      <w:spacing w:val="10"/>
      <w:sz w:val="22"/>
      <w:szCs w:val="28"/>
    </w:rPr>
  </w:style>
  <w:style w:type="paragraph" w:customStyle="1" w:styleId="Ruller5">
    <w:name w:val="Ruller5"/>
    <w:basedOn w:val="a"/>
    <w:uiPriority w:val="99"/>
    <w:pPr>
      <w:overflowPunct w:val="0"/>
      <w:autoSpaceDE w:val="0"/>
      <w:autoSpaceDN w:val="0"/>
      <w:adjustRightInd w:val="0"/>
      <w:ind w:left="1642" w:right="1282"/>
      <w:jc w:val="both"/>
    </w:pPr>
    <w:rPr>
      <w:rFonts w:ascii="Arial TUR" w:eastAsia="Times New Roman" w:hAnsi="Arial TUR"/>
      <w:spacing w:val="10"/>
      <w:sz w:val="22"/>
      <w:szCs w:val="28"/>
    </w:rPr>
  </w:style>
  <w:style w:type="paragraph" w:customStyle="1" w:styleId="Ruller6">
    <w:name w:val="Ruller6"/>
    <w:basedOn w:val="a"/>
    <w:uiPriority w:val="99"/>
    <w:pPr>
      <w:tabs>
        <w:tab w:val="left" w:pos="794"/>
        <w:tab w:val="left" w:pos="2268"/>
        <w:tab w:val="left" w:pos="5783"/>
        <w:tab w:val="left" w:pos="7371"/>
      </w:tabs>
      <w:overflowPunct w:val="0"/>
      <w:autoSpaceDE w:val="0"/>
      <w:autoSpaceDN w:val="0"/>
      <w:adjustRightInd w:val="0"/>
    </w:pPr>
    <w:rPr>
      <w:rFonts w:ascii="Arial TUR" w:eastAsia="Times New Roman" w:hAnsi="Arial TUR"/>
      <w:spacing w:val="10"/>
      <w:sz w:val="22"/>
      <w:szCs w:val="20"/>
    </w:rPr>
  </w:style>
  <w:style w:type="paragraph" w:customStyle="1" w:styleId="WriterName">
    <w:name w:val="Writer Name"/>
    <w:basedOn w:val="Ruller4"/>
    <w:next w:val="Ruller4"/>
    <w:uiPriority w:val="99"/>
    <w:rPr>
      <w:b/>
      <w:bCs/>
      <w:u w:val="single"/>
    </w:rPr>
  </w:style>
  <w:style w:type="paragraph" w:customStyle="1" w:styleId="2">
    <w:name w:val="ñâðåï2"/>
    <w:basedOn w:val="a"/>
    <w:uiPriority w:val="99"/>
    <w:pPr>
      <w:autoSpaceDE w:val="0"/>
      <w:autoSpaceDN w:val="0"/>
      <w:adjustRightInd w:val="0"/>
    </w:pPr>
    <w:rPr>
      <w:sz w:val="20"/>
    </w:rPr>
  </w:style>
  <w:style w:type="paragraph" w:customStyle="1" w:styleId="Casenameintextbody">
    <w:name w:val="Case name in text body"/>
    <w:basedOn w:val="a"/>
    <w:uiPriority w:val="99"/>
    <w:pPr>
      <w:autoSpaceDE w:val="0"/>
      <w:autoSpaceDN w:val="0"/>
      <w:adjustRightInd w:val="0"/>
      <w:jc w:val="right"/>
    </w:pPr>
    <w:rPr>
      <w:b/>
      <w:bCs/>
      <w:sz w:val="20"/>
      <w:u w:val="single"/>
    </w:rPr>
  </w:style>
  <w:style w:type="paragraph" w:customStyle="1" w:styleId="precasestyle">
    <w:name w:val="pre_case style"/>
    <w:basedOn w:val="a"/>
    <w:uiPriority w:val="99"/>
    <w:pPr>
      <w:tabs>
        <w:tab w:val="left" w:pos="2552"/>
      </w:tabs>
      <w:autoSpaceDE w:val="0"/>
      <w:autoSpaceDN w:val="0"/>
      <w:adjustRightInd w:val="0"/>
      <w:ind w:right="2549"/>
    </w:pPr>
    <w:rPr>
      <w:sz w:val="20"/>
    </w:rPr>
  </w:style>
  <w:style w:type="paragraph" w:customStyle="1" w:styleId="BodyRuller">
    <w:name w:val="Body Ruller"/>
    <w:basedOn w:val="a"/>
    <w:uiPriority w:val="99"/>
    <w:pPr>
      <w:overflowPunct w:val="0"/>
      <w:autoSpaceDE w:val="0"/>
      <w:autoSpaceDN w:val="0"/>
      <w:adjustRightInd w:val="0"/>
    </w:pPr>
    <w:rPr>
      <w:rFonts w:eastAsia="Times New Roman"/>
      <w:sz w:val="22"/>
      <w:szCs w:val="28"/>
    </w:rPr>
  </w:style>
  <w:style w:type="paragraph" w:customStyle="1" w:styleId="Ruller38">
    <w:name w:val="סגנון Ruller 3 + (מורכב) ‏8 נק"/>
    <w:basedOn w:val="BodyRuller"/>
    <w:uiPriority w:val="99"/>
    <w:rPr>
      <w:szCs w:val="16"/>
    </w:rPr>
  </w:style>
  <w:style w:type="paragraph" w:customStyle="1" w:styleId="FileNumber0">
    <w:name w:val="סגנון File Number + ימין"/>
    <w:basedOn w:val="FileNumber"/>
    <w:uiPriority w:val="99"/>
    <w:pPr>
      <w:jc w:val="left"/>
    </w:pPr>
    <w:rPr>
      <w:szCs w:val="28"/>
    </w:rPr>
  </w:style>
  <w:style w:type="paragraph" w:customStyle="1" w:styleId="BODYVERDICT">
    <w:name w:val="BODY VERDICT"/>
    <w:basedOn w:val="a"/>
    <w:uiPriority w:val="99"/>
    <w:pPr>
      <w:overflowPunct w:val="0"/>
      <w:autoSpaceDE w:val="0"/>
      <w:autoSpaceDN w:val="0"/>
      <w:adjustRightInd w:val="0"/>
    </w:pPr>
    <w:rPr>
      <w:rFonts w:eastAsia="Times New Roman"/>
      <w:spacing w:val="10"/>
      <w:sz w:val="22"/>
      <w:szCs w:val="28"/>
    </w:rPr>
  </w:style>
  <w:style w:type="character" w:customStyle="1" w:styleId="Delete">
    <w:name w:val="Delete"/>
    <w:basedOn w:val="a0"/>
    <w:uiPriority w:val="99"/>
    <w:rPr>
      <w:rFonts w:cs="Times New Roman"/>
      <w:strike/>
    </w:rPr>
  </w:style>
  <w:style w:type="character" w:customStyle="1" w:styleId="Hand">
    <w:name w:val="Hand"/>
    <w:basedOn w:val="a0"/>
    <w:uiPriority w:val="99"/>
    <w:rPr>
      <w:rFonts w:cs="Guttman Yad"/>
      <w:lang w:bidi="he-IL"/>
    </w:rPr>
  </w:style>
  <w:style w:type="character" w:customStyle="1" w:styleId="Ruller30">
    <w:name w:val="Ruller 3 תו"/>
    <w:basedOn w:val="a0"/>
    <w:uiPriority w:val="99"/>
    <w:rPr>
      <w:rFonts w:cs="FrankRuehl"/>
      <w:sz w:val="28"/>
      <w:szCs w:val="28"/>
      <w:lang w:val="en-US" w:eastAsia="en-US" w:bidi="he-IL"/>
    </w:rPr>
  </w:style>
  <w:style w:type="character" w:customStyle="1" w:styleId="BodyRuller0">
    <w:name w:val="Body Ruller תו"/>
    <w:basedOn w:val="Ruller30"/>
    <w:uiPriority w:val="99"/>
    <w:rPr>
      <w:rFonts w:cs="David"/>
      <w:sz w:val="28"/>
      <w:szCs w:val="28"/>
      <w:lang w:val="en-US" w:eastAsia="en-US" w:bidi="he-IL"/>
    </w:rPr>
  </w:style>
  <w:style w:type="character" w:customStyle="1" w:styleId="Ruller380">
    <w:name w:val="סגנון Ruller 3 + (מורכב) ‏8 נק תו"/>
    <w:basedOn w:val="BodyRuller0"/>
    <w:uiPriority w:val="99"/>
    <w:rPr>
      <w:rFonts w:cs="David"/>
      <w:sz w:val="16"/>
      <w:szCs w:val="16"/>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urt.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5715</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בבית המשפט העליון בשבתו כבית משפט גבוה לצדק</vt:lpstr>
    </vt:vector>
  </TitlesOfParts>
  <Company>mayahiman</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 בשבתו כבית משפט גבוה לצדק</dc:title>
  <dc:subject/>
  <dc:creator>maya himan</dc:creator>
  <cp:keywords/>
  <dc:description/>
  <cp:lastModifiedBy>משתמש</cp:lastModifiedBy>
  <cp:revision>2</cp:revision>
  <dcterms:created xsi:type="dcterms:W3CDTF">2019-07-15T08:03:00Z</dcterms:created>
  <dcterms:modified xsi:type="dcterms:W3CDTF">2019-07-15T08:03:00Z</dcterms:modified>
</cp:coreProperties>
</file>