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A405" w14:textId="77777777" w:rsidR="00000000" w:rsidRDefault="004D1944">
      <w:pPr>
        <w:pStyle w:val="7"/>
        <w:spacing w:before="0"/>
        <w:rPr>
          <w:rFonts w:cs="David"/>
          <w:b/>
          <w:bCs/>
          <w:sz w:val="24"/>
          <w:rtl/>
        </w:rPr>
      </w:pPr>
      <w:bookmarkStart w:id="0" w:name="_GoBack"/>
      <w:bookmarkEnd w:id="0"/>
      <w:r>
        <w:rPr>
          <w:rFonts w:cs="David"/>
          <w:b/>
          <w:bCs/>
          <w:sz w:val="24"/>
          <w:rtl/>
        </w:rPr>
        <w:t>בית הדין להגבלים עסקיים</w:t>
      </w:r>
      <w:r>
        <w:rPr>
          <w:rFonts w:cs="David"/>
          <w:b/>
          <w:bCs/>
          <w:sz w:val="24"/>
          <w:u w:val="none"/>
          <w:rtl/>
        </w:rPr>
        <w:tab/>
      </w:r>
      <w:r>
        <w:rPr>
          <w:rFonts w:cs="David"/>
          <w:b/>
          <w:bCs/>
          <w:sz w:val="24"/>
          <w:u w:val="none"/>
          <w:rtl/>
        </w:rPr>
        <w:tab/>
      </w:r>
      <w:r>
        <w:rPr>
          <w:rFonts w:cs="David"/>
          <w:b/>
          <w:bCs/>
          <w:sz w:val="24"/>
          <w:u w:val="none"/>
          <w:rtl/>
        </w:rPr>
        <w:tab/>
      </w:r>
      <w:r>
        <w:rPr>
          <w:rFonts w:cs="David"/>
          <w:b/>
          <w:bCs/>
          <w:sz w:val="24"/>
          <w:u w:val="none"/>
          <w:rtl/>
        </w:rPr>
        <w:tab/>
      </w:r>
      <w:r>
        <w:rPr>
          <w:rFonts w:cs="David"/>
          <w:b/>
          <w:bCs/>
          <w:sz w:val="24"/>
          <w:u w:val="none"/>
          <w:rtl/>
        </w:rPr>
        <w:tab/>
      </w:r>
      <w:r>
        <w:rPr>
          <w:rFonts w:cs="David"/>
          <w:b/>
          <w:bCs/>
          <w:sz w:val="24"/>
          <w:u w:val="none"/>
          <w:rtl/>
        </w:rPr>
        <w:tab/>
      </w:r>
      <w:r>
        <w:rPr>
          <w:rFonts w:cs="David"/>
          <w:b/>
          <w:bCs/>
          <w:sz w:val="24"/>
          <w:rtl/>
        </w:rPr>
        <w:t xml:space="preserve">ערר 10,11/99 </w:t>
      </w:r>
    </w:p>
    <w:p w14:paraId="52E65CA2" w14:textId="77777777" w:rsidR="00000000" w:rsidRDefault="004D1944">
      <w:pPr>
        <w:spacing w:before="0"/>
        <w:rPr>
          <w:rFonts w:cs="David"/>
          <w:b/>
          <w:bCs/>
          <w:sz w:val="24"/>
          <w:rtl/>
          <w:lang w:eastAsia="en-US"/>
        </w:rPr>
      </w:pPr>
      <w:r>
        <w:rPr>
          <w:rFonts w:cs="David"/>
          <w:b/>
          <w:bCs/>
          <w:sz w:val="24"/>
          <w:rtl/>
          <w:lang w:eastAsia="en-US"/>
        </w:rPr>
        <w:t>בפני כב' השופט י.עדיאל – המשנה לאב בית הדין</w:t>
      </w:r>
    </w:p>
    <w:p w14:paraId="6A7CA6C3" w14:textId="77777777" w:rsidR="00000000" w:rsidRDefault="004D1944">
      <w:pPr>
        <w:spacing w:before="0"/>
        <w:rPr>
          <w:rFonts w:cs="David"/>
          <w:b/>
          <w:bCs/>
          <w:sz w:val="24"/>
          <w:rtl/>
          <w:lang w:eastAsia="en-US"/>
        </w:rPr>
      </w:pPr>
      <w:r>
        <w:rPr>
          <w:rFonts w:cs="David"/>
          <w:b/>
          <w:bCs/>
          <w:sz w:val="24"/>
          <w:rtl/>
          <w:lang w:eastAsia="en-US"/>
        </w:rPr>
        <w:t>ד"ר יוג'ין קנדל</w:t>
      </w:r>
      <w:r>
        <w:rPr>
          <w:rFonts w:cs="David"/>
          <w:b/>
          <w:bCs/>
          <w:sz w:val="24"/>
          <w:rtl/>
          <w:lang w:eastAsia="en-US"/>
        </w:rPr>
        <w:tab/>
      </w:r>
      <w:r>
        <w:rPr>
          <w:rFonts w:cs="David"/>
          <w:b/>
          <w:bCs/>
          <w:sz w:val="24"/>
          <w:rtl/>
          <w:lang w:eastAsia="en-US"/>
        </w:rPr>
        <w:tab/>
        <w:t>- חבר</w:t>
      </w:r>
    </w:p>
    <w:p w14:paraId="4B1686F8" w14:textId="77777777" w:rsidR="00000000" w:rsidRDefault="004D1944">
      <w:pPr>
        <w:spacing w:before="0"/>
        <w:rPr>
          <w:rFonts w:cs="David"/>
          <w:b/>
          <w:bCs/>
          <w:sz w:val="24"/>
          <w:rtl/>
          <w:lang w:eastAsia="en-US"/>
        </w:rPr>
      </w:pPr>
      <w:r>
        <w:rPr>
          <w:rFonts w:cs="David"/>
          <w:b/>
          <w:bCs/>
          <w:sz w:val="24"/>
          <w:rtl/>
          <w:lang w:eastAsia="en-US"/>
        </w:rPr>
        <w:t>עו"ד ירון קידר</w:t>
      </w:r>
      <w:r>
        <w:rPr>
          <w:rFonts w:cs="David"/>
          <w:b/>
          <w:bCs/>
          <w:sz w:val="24"/>
          <w:rtl/>
          <w:lang w:eastAsia="en-US"/>
        </w:rPr>
        <w:tab/>
      </w:r>
      <w:r>
        <w:rPr>
          <w:rFonts w:cs="David"/>
          <w:b/>
          <w:bCs/>
          <w:sz w:val="24"/>
          <w:rtl/>
          <w:lang w:eastAsia="en-US"/>
        </w:rPr>
        <w:tab/>
        <w:t>- חבר</w:t>
      </w:r>
    </w:p>
    <w:p w14:paraId="3A44A2CC" w14:textId="77777777" w:rsidR="00000000" w:rsidRDefault="004D1944">
      <w:pPr>
        <w:spacing w:before="0"/>
        <w:rPr>
          <w:rFonts w:cs="David"/>
          <w:b/>
          <w:bCs/>
          <w:sz w:val="24"/>
          <w:rtl/>
          <w:lang w:eastAsia="en-US"/>
        </w:rPr>
      </w:pPr>
    </w:p>
    <w:p w14:paraId="7626499E" w14:textId="77777777" w:rsidR="00000000" w:rsidRDefault="004D1944">
      <w:pPr>
        <w:spacing w:before="0"/>
        <w:rPr>
          <w:rFonts w:cs="David"/>
          <w:b/>
          <w:bCs/>
          <w:sz w:val="24"/>
          <w:rtl/>
          <w:lang w:eastAsia="en-US"/>
        </w:rPr>
      </w:pPr>
      <w:r>
        <w:rPr>
          <w:rFonts w:cs="David"/>
          <w:b/>
          <w:bCs/>
          <w:sz w:val="24"/>
          <w:rtl/>
          <w:lang w:eastAsia="en-US"/>
        </w:rPr>
        <w:t xml:space="preserve">בעניין: </w:t>
      </w:r>
      <w:r>
        <w:rPr>
          <w:rFonts w:cs="David"/>
          <w:b/>
          <w:bCs/>
          <w:sz w:val="24"/>
          <w:rtl/>
          <w:lang w:eastAsia="en-US"/>
        </w:rPr>
        <w:tab/>
        <w:t>די.בי.אס שירותי לווין</w:t>
      </w:r>
      <w:r>
        <w:rPr>
          <w:rFonts w:cs="David"/>
          <w:b/>
          <w:bCs/>
          <w:sz w:val="24"/>
          <w:rtl/>
          <w:lang w:eastAsia="en-US"/>
        </w:rPr>
        <w:t xml:space="preserve"> (1998) בע"מ</w:t>
      </w:r>
    </w:p>
    <w:p w14:paraId="35E3269D" w14:textId="77777777" w:rsidR="00000000" w:rsidRDefault="004D1944">
      <w:pPr>
        <w:spacing w:before="0"/>
        <w:rPr>
          <w:rFonts w:cs="David"/>
          <w:b/>
          <w:bCs/>
          <w:sz w:val="24"/>
          <w:u w:val="single"/>
          <w:rtl/>
          <w:lang w:eastAsia="en-US"/>
        </w:rPr>
      </w:pPr>
      <w:r>
        <w:rPr>
          <w:rFonts w:cs="David"/>
          <w:b/>
          <w:bCs/>
          <w:sz w:val="24"/>
          <w:rtl/>
          <w:lang w:eastAsia="en-US"/>
        </w:rPr>
        <w:tab/>
      </w:r>
      <w:r>
        <w:rPr>
          <w:rFonts w:cs="David"/>
          <w:sz w:val="24"/>
          <w:rtl/>
          <w:lang w:eastAsia="en-US"/>
        </w:rPr>
        <w:t>ע"י ב"כ עוה"ד ארדינסט בן-נתן ואח'</w:t>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u w:val="single"/>
          <w:rtl/>
          <w:lang w:eastAsia="en-US"/>
        </w:rPr>
        <w:t>המבקשת מס' 1</w:t>
      </w:r>
    </w:p>
    <w:p w14:paraId="664D2462" w14:textId="77777777" w:rsidR="00000000" w:rsidRDefault="004D1944">
      <w:pPr>
        <w:spacing w:before="0"/>
        <w:rPr>
          <w:rFonts w:cs="David"/>
          <w:b/>
          <w:bCs/>
          <w:sz w:val="24"/>
          <w:rtl/>
          <w:lang w:eastAsia="en-US"/>
        </w:rPr>
      </w:pPr>
    </w:p>
    <w:p w14:paraId="3879AB27" w14:textId="77777777" w:rsidR="00000000" w:rsidRDefault="004D1944">
      <w:pPr>
        <w:spacing w:before="0"/>
        <w:rPr>
          <w:rFonts w:cs="David"/>
          <w:b/>
          <w:bCs/>
          <w:sz w:val="24"/>
          <w:rtl/>
          <w:lang w:eastAsia="en-US"/>
        </w:rPr>
      </w:pPr>
      <w:r>
        <w:rPr>
          <w:rFonts w:cs="David"/>
          <w:b/>
          <w:bCs/>
          <w:sz w:val="24"/>
          <w:rtl/>
          <w:lang w:eastAsia="en-US"/>
        </w:rPr>
        <w:t>ובעניין:</w:t>
      </w:r>
      <w:r>
        <w:rPr>
          <w:rFonts w:cs="David"/>
          <w:b/>
          <w:bCs/>
          <w:sz w:val="24"/>
          <w:rtl/>
          <w:lang w:eastAsia="en-US"/>
        </w:rPr>
        <w:tab/>
        <w:t>מועצה מקומית מרום הגליל ואח'</w:t>
      </w:r>
    </w:p>
    <w:p w14:paraId="2EA7D20F" w14:textId="77777777" w:rsidR="00000000" w:rsidRDefault="004D1944">
      <w:pPr>
        <w:spacing w:before="0"/>
        <w:rPr>
          <w:rFonts w:cs="David"/>
          <w:b/>
          <w:bCs/>
          <w:sz w:val="24"/>
          <w:u w:val="single"/>
          <w:rtl/>
          <w:lang w:eastAsia="en-US"/>
        </w:rPr>
      </w:pPr>
      <w:r>
        <w:rPr>
          <w:rFonts w:cs="David"/>
          <w:b/>
          <w:bCs/>
          <w:sz w:val="24"/>
          <w:rtl/>
          <w:lang w:eastAsia="en-US"/>
        </w:rPr>
        <w:tab/>
      </w:r>
      <w:r>
        <w:rPr>
          <w:rFonts w:cs="David"/>
          <w:sz w:val="24"/>
          <w:rtl/>
          <w:lang w:eastAsia="en-US"/>
        </w:rPr>
        <w:t>ע"י ב"כ עוה"ד ז. רוזנבלום ואח'</w:t>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u w:val="single"/>
          <w:rtl/>
          <w:lang w:eastAsia="en-US"/>
        </w:rPr>
        <w:t>המבקשת 2</w:t>
      </w:r>
    </w:p>
    <w:p w14:paraId="77324996" w14:textId="77777777" w:rsidR="00000000" w:rsidRDefault="004D1944">
      <w:pPr>
        <w:spacing w:before="0"/>
        <w:rPr>
          <w:rFonts w:cs="David"/>
          <w:b/>
          <w:bCs/>
          <w:sz w:val="24"/>
          <w:u w:val="single"/>
          <w:rtl/>
          <w:lang w:eastAsia="en-US"/>
        </w:rPr>
      </w:pPr>
    </w:p>
    <w:p w14:paraId="5F3DEBE9" w14:textId="77777777" w:rsidR="00000000" w:rsidRDefault="004D1944">
      <w:pPr>
        <w:spacing w:before="0"/>
        <w:rPr>
          <w:rFonts w:cs="David"/>
          <w:b/>
          <w:bCs/>
          <w:sz w:val="24"/>
          <w:rtl/>
          <w:lang w:eastAsia="en-US"/>
        </w:rPr>
      </w:pPr>
      <w:r>
        <w:rPr>
          <w:rFonts w:cs="David"/>
          <w:b/>
          <w:bCs/>
          <w:sz w:val="24"/>
          <w:rtl/>
          <w:lang w:eastAsia="en-US"/>
        </w:rPr>
        <w:t>ובעניין:</w:t>
      </w:r>
      <w:r>
        <w:rPr>
          <w:rFonts w:cs="David"/>
          <w:b/>
          <w:bCs/>
          <w:sz w:val="24"/>
          <w:rtl/>
          <w:lang w:eastAsia="en-US"/>
        </w:rPr>
        <w:tab/>
        <w:t>1.</w:t>
      </w:r>
      <w:r>
        <w:rPr>
          <w:rFonts w:cs="David"/>
          <w:b/>
          <w:bCs/>
          <w:sz w:val="24"/>
          <w:rtl/>
          <w:lang w:eastAsia="en-US"/>
        </w:rPr>
        <w:tab/>
        <w:t>תבל תשדורת בינלאומית לישראל בע"מ</w:t>
      </w:r>
    </w:p>
    <w:p w14:paraId="6590438D" w14:textId="77777777" w:rsidR="00000000" w:rsidRDefault="004D1944">
      <w:pPr>
        <w:spacing w:before="0"/>
        <w:rPr>
          <w:rFonts w:cs="David"/>
          <w:b/>
          <w:bCs/>
          <w:sz w:val="24"/>
          <w:rtl/>
          <w:lang w:eastAsia="en-US"/>
        </w:rPr>
      </w:pPr>
      <w:r>
        <w:rPr>
          <w:rFonts w:cs="David"/>
          <w:b/>
          <w:bCs/>
          <w:sz w:val="24"/>
          <w:rtl/>
          <w:lang w:eastAsia="en-US"/>
        </w:rPr>
        <w:tab/>
        <w:t>2.</w:t>
      </w:r>
      <w:r>
        <w:rPr>
          <w:rFonts w:cs="David"/>
          <w:b/>
          <w:bCs/>
          <w:sz w:val="24"/>
          <w:rtl/>
          <w:lang w:eastAsia="en-US"/>
        </w:rPr>
        <w:tab/>
        <w:t>ערוצי זהב ושות'</w:t>
      </w:r>
    </w:p>
    <w:p w14:paraId="6A7C665D" w14:textId="77777777" w:rsidR="00000000" w:rsidRDefault="004D1944">
      <w:pPr>
        <w:pStyle w:val="8"/>
        <w:rPr>
          <w:rFonts w:cs="David"/>
          <w:b w:val="0"/>
          <w:bCs w:val="0"/>
          <w:sz w:val="24"/>
          <w:rtl/>
        </w:rPr>
      </w:pPr>
      <w:r>
        <w:rPr>
          <w:rFonts w:cs="David"/>
          <w:b w:val="0"/>
          <w:bCs w:val="0"/>
          <w:sz w:val="24"/>
          <w:rtl/>
        </w:rPr>
        <w:tab/>
        <w:t>ע"י ב"כ עוה"ד אביטל, דרומי ושות'</w:t>
      </w:r>
    </w:p>
    <w:p w14:paraId="416FFE70" w14:textId="77777777" w:rsidR="00000000" w:rsidRDefault="004D1944">
      <w:pPr>
        <w:spacing w:before="0"/>
        <w:rPr>
          <w:rFonts w:cs="David"/>
          <w:b/>
          <w:bCs/>
          <w:sz w:val="24"/>
          <w:rtl/>
          <w:lang w:eastAsia="en-US"/>
        </w:rPr>
      </w:pPr>
      <w:r>
        <w:rPr>
          <w:rFonts w:cs="David"/>
          <w:b/>
          <w:bCs/>
          <w:sz w:val="24"/>
          <w:rtl/>
          <w:lang w:eastAsia="en-US"/>
        </w:rPr>
        <w:tab/>
        <w:t>3.</w:t>
      </w:r>
      <w:r>
        <w:rPr>
          <w:rFonts w:cs="David"/>
          <w:b/>
          <w:bCs/>
          <w:sz w:val="24"/>
          <w:rtl/>
          <w:lang w:eastAsia="en-US"/>
        </w:rPr>
        <w:tab/>
        <w:t>מת"ב</w:t>
      </w:r>
      <w:r>
        <w:rPr>
          <w:rFonts w:cs="David"/>
          <w:b/>
          <w:bCs/>
          <w:sz w:val="24"/>
          <w:rtl/>
          <w:lang w:eastAsia="en-US"/>
        </w:rPr>
        <w:t xml:space="preserve"> מערכות תקשורת בכבלים בע"מ</w:t>
      </w:r>
    </w:p>
    <w:p w14:paraId="0080E3CF" w14:textId="77777777" w:rsidR="00000000" w:rsidRDefault="004D1944">
      <w:pPr>
        <w:spacing w:before="0"/>
        <w:rPr>
          <w:rFonts w:cs="David"/>
          <w:sz w:val="24"/>
          <w:rtl/>
          <w:lang w:eastAsia="en-US"/>
        </w:rPr>
      </w:pPr>
      <w:r>
        <w:rPr>
          <w:rFonts w:cs="David"/>
          <w:sz w:val="24"/>
          <w:rtl/>
          <w:lang w:eastAsia="en-US"/>
        </w:rPr>
        <w:tab/>
        <w:t xml:space="preserve">ע"י ב"כ עוה"ד </w:t>
      </w:r>
      <w:r>
        <w:rPr>
          <w:rFonts w:cs="David"/>
          <w:sz w:val="24"/>
          <w:rtl/>
          <w:lang w:eastAsia="en-US"/>
        </w:rPr>
        <w:tab/>
        <w:t>ד"ר י. שגב ושות'</w:t>
      </w:r>
      <w:r>
        <w:rPr>
          <w:rFonts w:cs="David"/>
          <w:sz w:val="24"/>
          <w:rtl/>
          <w:lang w:eastAsia="en-US"/>
        </w:rPr>
        <w:tab/>
      </w:r>
      <w:r>
        <w:rPr>
          <w:rFonts w:cs="David"/>
          <w:sz w:val="24"/>
          <w:rtl/>
          <w:lang w:eastAsia="en-US"/>
        </w:rPr>
        <w:tab/>
      </w:r>
      <w:r>
        <w:rPr>
          <w:rFonts w:cs="David"/>
          <w:sz w:val="24"/>
          <w:rtl/>
          <w:lang w:eastAsia="en-US"/>
        </w:rPr>
        <w:tab/>
      </w:r>
      <w:r>
        <w:rPr>
          <w:rFonts w:cs="David"/>
          <w:sz w:val="24"/>
          <w:rtl/>
          <w:lang w:eastAsia="en-US"/>
        </w:rPr>
        <w:tab/>
      </w:r>
      <w:r>
        <w:rPr>
          <w:rFonts w:cs="David"/>
          <w:b/>
          <w:bCs/>
          <w:sz w:val="24"/>
          <w:u w:val="single"/>
          <w:rtl/>
          <w:lang w:eastAsia="en-US"/>
        </w:rPr>
        <w:t>העוררות</w:t>
      </w:r>
    </w:p>
    <w:p w14:paraId="6BB03CDC" w14:textId="77777777" w:rsidR="00000000" w:rsidRDefault="004D1944">
      <w:pPr>
        <w:spacing w:before="0"/>
        <w:rPr>
          <w:rFonts w:cs="David"/>
          <w:sz w:val="24"/>
          <w:rtl/>
          <w:lang w:eastAsia="en-US"/>
        </w:rPr>
      </w:pPr>
    </w:p>
    <w:p w14:paraId="631BBAC2" w14:textId="77777777" w:rsidR="00000000" w:rsidRDefault="004D1944">
      <w:pPr>
        <w:spacing w:before="0"/>
        <w:rPr>
          <w:rFonts w:cs="David"/>
          <w:sz w:val="24"/>
          <w:rtl/>
          <w:lang w:eastAsia="en-US"/>
        </w:rPr>
      </w:pPr>
      <w:r>
        <w:rPr>
          <w:rFonts w:cs="David"/>
          <w:sz w:val="24"/>
          <w:rtl/>
          <w:lang w:eastAsia="en-US"/>
        </w:rPr>
        <w:tab/>
      </w:r>
      <w:r>
        <w:rPr>
          <w:rFonts w:cs="David"/>
          <w:b/>
          <w:bCs/>
          <w:sz w:val="28"/>
          <w:szCs w:val="28"/>
          <w:rtl/>
          <w:lang w:eastAsia="en-US"/>
        </w:rPr>
        <w:t>- נ ג ד -</w:t>
      </w:r>
    </w:p>
    <w:p w14:paraId="39D88D01" w14:textId="77777777" w:rsidR="00000000" w:rsidRDefault="004D1944">
      <w:pPr>
        <w:spacing w:before="0"/>
        <w:rPr>
          <w:rFonts w:cs="David"/>
          <w:b/>
          <w:bCs/>
          <w:sz w:val="24"/>
          <w:rtl/>
          <w:lang w:eastAsia="en-US"/>
        </w:rPr>
      </w:pPr>
      <w:r>
        <w:rPr>
          <w:rFonts w:cs="David"/>
          <w:sz w:val="24"/>
          <w:rtl/>
          <w:lang w:eastAsia="en-US"/>
        </w:rPr>
        <w:tab/>
      </w:r>
      <w:r>
        <w:rPr>
          <w:rFonts w:cs="David"/>
          <w:b/>
          <w:bCs/>
          <w:sz w:val="24"/>
          <w:rtl/>
          <w:lang w:eastAsia="en-US"/>
        </w:rPr>
        <w:t>הממונה על ההגבלים העסקיים</w:t>
      </w:r>
    </w:p>
    <w:p w14:paraId="43A621C0" w14:textId="77777777" w:rsidR="00000000" w:rsidRDefault="004D1944">
      <w:pPr>
        <w:spacing w:before="0"/>
        <w:rPr>
          <w:rFonts w:cs="David"/>
          <w:b/>
          <w:bCs/>
          <w:sz w:val="24"/>
          <w:u w:val="single"/>
          <w:rtl/>
          <w:lang w:eastAsia="en-US"/>
        </w:rPr>
      </w:pPr>
      <w:r>
        <w:rPr>
          <w:rFonts w:cs="David"/>
          <w:b/>
          <w:bCs/>
          <w:sz w:val="24"/>
          <w:rtl/>
          <w:lang w:eastAsia="en-US"/>
        </w:rPr>
        <w:tab/>
      </w:r>
      <w:r>
        <w:rPr>
          <w:rFonts w:cs="David"/>
          <w:sz w:val="24"/>
          <w:rtl/>
          <w:lang w:eastAsia="en-US"/>
        </w:rPr>
        <w:t xml:space="preserve">ע"י ב"כ עוה"ד  </w:t>
      </w:r>
      <w:r>
        <w:rPr>
          <w:rFonts w:cs="David"/>
          <w:sz w:val="24"/>
          <w:rtl/>
          <w:lang w:eastAsia="en-US"/>
        </w:rPr>
        <w:tab/>
        <w:t>מהרשות להגבלים עסקיים</w:t>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u w:val="single"/>
          <w:rtl/>
          <w:lang w:eastAsia="en-US"/>
        </w:rPr>
        <w:t>הממונה</w:t>
      </w:r>
    </w:p>
    <w:p w14:paraId="57699A0A" w14:textId="77777777" w:rsidR="00000000" w:rsidRDefault="004D1944">
      <w:pPr>
        <w:spacing w:before="0"/>
        <w:rPr>
          <w:rFonts w:cs="David"/>
          <w:b/>
          <w:bCs/>
          <w:sz w:val="24"/>
          <w:u w:val="single"/>
          <w:rtl/>
          <w:lang w:eastAsia="en-US"/>
        </w:rPr>
      </w:pPr>
    </w:p>
    <w:p w14:paraId="094762EE" w14:textId="77777777" w:rsidR="00000000" w:rsidRDefault="004D1944">
      <w:pPr>
        <w:pStyle w:val="9"/>
        <w:jc w:val="both"/>
        <w:rPr>
          <w:rFonts w:cs="David"/>
          <w:rtl/>
        </w:rPr>
      </w:pPr>
      <w:r>
        <w:rPr>
          <w:rFonts w:cs="David"/>
          <w:rtl/>
        </w:rPr>
        <w:t>החלטה</w:t>
      </w:r>
    </w:p>
    <w:p w14:paraId="12AAEA27" w14:textId="77777777" w:rsidR="00000000" w:rsidRDefault="004D1944">
      <w:pPr>
        <w:spacing w:before="0"/>
        <w:rPr>
          <w:rFonts w:cs="David"/>
          <w:sz w:val="24"/>
          <w:rtl/>
          <w:lang w:eastAsia="en-US"/>
        </w:rPr>
      </w:pPr>
    </w:p>
    <w:p w14:paraId="41E59BA8" w14:textId="77777777" w:rsidR="00000000" w:rsidRDefault="004D1944">
      <w:pPr>
        <w:tabs>
          <w:tab w:val="left" w:pos="512"/>
        </w:tabs>
        <w:spacing w:before="0"/>
        <w:ind w:left="360" w:hanging="360"/>
        <w:rPr>
          <w:rFonts w:cs="David"/>
          <w:sz w:val="24"/>
          <w:rtl/>
          <w:lang w:eastAsia="en-US"/>
        </w:rPr>
      </w:pPr>
      <w:r>
        <w:rPr>
          <w:rFonts w:cs="David"/>
          <w:sz w:val="24"/>
          <w:rtl/>
          <w:lang w:eastAsia="en-US"/>
        </w:rPr>
        <w:t>1.</w:t>
      </w:r>
      <w:r>
        <w:rPr>
          <w:rFonts w:cs="David"/>
          <w:sz w:val="24"/>
          <w:rtl/>
          <w:lang w:eastAsia="en-US"/>
        </w:rPr>
        <w:tab/>
        <w:t>תבל תשדורת בינלאומית לישראל בע"מ, ערוצי זהב ושות' ומת"ב מערכות תקשורת בכבלים בע"מ (להל</w:t>
      </w:r>
      <w:r>
        <w:rPr>
          <w:rFonts w:cs="David"/>
          <w:sz w:val="24"/>
          <w:rtl/>
          <w:lang w:eastAsia="en-US"/>
        </w:rPr>
        <w:t>ן: "</w:t>
      </w:r>
      <w:r>
        <w:rPr>
          <w:rFonts w:cs="David"/>
          <w:b/>
          <w:bCs/>
          <w:sz w:val="24"/>
          <w:rtl/>
          <w:lang w:eastAsia="en-US"/>
        </w:rPr>
        <w:t xml:space="preserve">חברות הטל"כ") </w:t>
      </w:r>
      <w:r>
        <w:rPr>
          <w:rFonts w:cs="David"/>
          <w:sz w:val="24"/>
          <w:rtl/>
          <w:lang w:eastAsia="en-US"/>
        </w:rPr>
        <w:t>הגישו ערר על הכרזתן כבעלות מונופולין להספקת שידורי טלוויזיה רב-ערוצית בתשלום לפי סעיף 26א לחוק ההגבלים העסקיים, התשמ"ח-1988 (להלן: "החוק").</w:t>
      </w:r>
    </w:p>
    <w:p w14:paraId="20914C6E" w14:textId="77777777" w:rsidR="00000000" w:rsidRDefault="004D1944">
      <w:pPr>
        <w:spacing w:before="0"/>
        <w:rPr>
          <w:rFonts w:cs="David"/>
          <w:sz w:val="24"/>
          <w:rtl/>
          <w:lang w:eastAsia="en-US"/>
        </w:rPr>
      </w:pPr>
    </w:p>
    <w:p w14:paraId="012DEDFC" w14:textId="77777777" w:rsidR="00000000" w:rsidRDefault="004D1944">
      <w:pPr>
        <w:tabs>
          <w:tab w:val="left" w:pos="371"/>
        </w:tabs>
        <w:spacing w:before="0"/>
        <w:ind w:left="360" w:hanging="360"/>
        <w:rPr>
          <w:rFonts w:cs="David"/>
          <w:sz w:val="24"/>
          <w:rtl/>
          <w:lang w:eastAsia="en-US"/>
        </w:rPr>
      </w:pPr>
      <w:r>
        <w:rPr>
          <w:rFonts w:cs="David"/>
          <w:sz w:val="24"/>
          <w:rtl/>
          <w:lang w:eastAsia="en-US"/>
        </w:rPr>
        <w:t>2.</w:t>
      </w:r>
      <w:r>
        <w:rPr>
          <w:rFonts w:cs="David"/>
          <w:sz w:val="24"/>
          <w:rtl/>
          <w:lang w:eastAsia="en-US"/>
        </w:rPr>
        <w:tab/>
        <w:t>המבקשת מס' 1 – די.בי.אס. שירותי לוויין (1988) בע"מ (להלן: "די.בי.אס": או "הלווין") מבקשת להצטר</w:t>
      </w:r>
      <w:r>
        <w:rPr>
          <w:rFonts w:cs="David"/>
          <w:sz w:val="24"/>
          <w:rtl/>
          <w:lang w:eastAsia="en-US"/>
        </w:rPr>
        <w:t>ף לערר כמשיבה מכוח תקנה 27 לתקנות ההגבלים העסקיים (סדרי דין בבית הדין ובערעור) התשמ"ט-1988.</w:t>
      </w:r>
    </w:p>
    <w:p w14:paraId="5A0F7DBD" w14:textId="77777777" w:rsidR="00000000" w:rsidRDefault="004D1944">
      <w:pPr>
        <w:spacing w:before="0"/>
        <w:ind w:left="360"/>
        <w:rPr>
          <w:rFonts w:cs="David"/>
          <w:sz w:val="24"/>
          <w:rtl/>
          <w:lang w:eastAsia="en-US"/>
        </w:rPr>
      </w:pPr>
    </w:p>
    <w:p w14:paraId="1F57A769" w14:textId="77777777" w:rsidR="00000000" w:rsidRDefault="004D1944">
      <w:pPr>
        <w:tabs>
          <w:tab w:val="left" w:pos="371"/>
        </w:tabs>
        <w:spacing w:before="0"/>
        <w:ind w:left="360" w:hanging="360"/>
        <w:rPr>
          <w:rFonts w:cs="David"/>
          <w:sz w:val="24"/>
          <w:rtl/>
          <w:lang w:eastAsia="en-US"/>
        </w:rPr>
      </w:pPr>
      <w:r>
        <w:rPr>
          <w:rFonts w:cs="David"/>
          <w:sz w:val="24"/>
          <w:rtl/>
          <w:lang w:eastAsia="en-US"/>
        </w:rPr>
        <w:t>3.</w:t>
      </w:r>
      <w:r>
        <w:rPr>
          <w:rFonts w:cs="David"/>
          <w:sz w:val="24"/>
          <w:rtl/>
          <w:lang w:eastAsia="en-US"/>
        </w:rPr>
        <w:tab/>
        <w:t>די.בי.אס טוענת למעמד המצדיק את צירופה להליך זה בהתבסס על כך, שהיא מתחרה פוטנציאלית של העוררות בתחומים שונים הנוגעים להספקת שידורים רב-ערוציים למנויים, והיא בעלת</w:t>
      </w:r>
      <w:r>
        <w:rPr>
          <w:rFonts w:cs="David"/>
          <w:sz w:val="24"/>
          <w:rtl/>
          <w:lang w:eastAsia="en-US"/>
        </w:rPr>
        <w:t xml:space="preserve"> האינטרס הכלכלי המובהק ביותר הקיים כיום בהכרזה נשוא הדיון הנוכחי, שכן היא הנפגעת העיקרית והמיידית מכוחו הדורסני של המונופול שמקיימות העוררות.</w:t>
      </w:r>
    </w:p>
    <w:p w14:paraId="00BE2DBB" w14:textId="77777777" w:rsidR="00000000" w:rsidRDefault="004D1944">
      <w:pPr>
        <w:pStyle w:val="23"/>
        <w:jc w:val="both"/>
        <w:rPr>
          <w:rFonts w:cs="David"/>
          <w:rtl/>
        </w:rPr>
      </w:pPr>
      <w:r>
        <w:rPr>
          <w:rFonts w:cs="David"/>
          <w:rtl/>
        </w:rPr>
        <w:t>מעבר לכך, טוענת המבקשת, שבידה הכלים, הנתונים והידע אשר עשויים לספק מענה הולם לטענותיהן של העוררות, וכי הצורך בבירו</w:t>
      </w:r>
      <w:r>
        <w:rPr>
          <w:rFonts w:cs="David"/>
          <w:rtl/>
        </w:rPr>
        <w:t>ר עובדתי מלא ונאות של הסוגיות והפלוגתאות שמעלות העוררות מחייב את צירופה של המבקשת כמשיבה לערר.</w:t>
      </w:r>
    </w:p>
    <w:p w14:paraId="1AED1675" w14:textId="77777777" w:rsidR="00000000" w:rsidRDefault="004D1944">
      <w:pPr>
        <w:pStyle w:val="23"/>
        <w:jc w:val="both"/>
        <w:rPr>
          <w:rFonts w:cs="David"/>
          <w:rtl/>
        </w:rPr>
      </w:pPr>
    </w:p>
    <w:p w14:paraId="148350D6" w14:textId="77777777" w:rsidR="00000000" w:rsidRDefault="004D1944">
      <w:pPr>
        <w:spacing w:before="0"/>
        <w:rPr>
          <w:rFonts w:cs="David"/>
          <w:sz w:val="24"/>
          <w:rtl/>
          <w:lang w:eastAsia="en-US"/>
        </w:rPr>
      </w:pPr>
      <w:r>
        <w:rPr>
          <w:rFonts w:cs="David"/>
          <w:sz w:val="24"/>
          <w:rtl/>
          <w:lang w:eastAsia="en-US"/>
        </w:rPr>
        <w:t>4.</w:t>
      </w:r>
      <w:r>
        <w:rPr>
          <w:rFonts w:cs="David"/>
          <w:sz w:val="24"/>
          <w:rtl/>
          <w:lang w:eastAsia="en-US"/>
        </w:rPr>
        <w:tab/>
        <w:t>אין להיעתר לבקשה</w:t>
      </w:r>
    </w:p>
    <w:p w14:paraId="0CC0E7EA" w14:textId="77777777" w:rsidR="00000000" w:rsidRDefault="004D1944">
      <w:pPr>
        <w:spacing w:before="0"/>
        <w:rPr>
          <w:rFonts w:cs="David"/>
          <w:sz w:val="24"/>
          <w:rtl/>
          <w:lang w:eastAsia="en-US"/>
        </w:rPr>
      </w:pPr>
    </w:p>
    <w:p w14:paraId="5F8DC6BF" w14:textId="77777777" w:rsidR="00000000" w:rsidRDefault="004D1944">
      <w:pPr>
        <w:pStyle w:val="25"/>
        <w:ind w:left="720" w:hanging="720"/>
        <w:jc w:val="both"/>
        <w:rPr>
          <w:rFonts w:cs="David"/>
          <w:rtl/>
        </w:rPr>
      </w:pPr>
      <w:r>
        <w:rPr>
          <w:rFonts w:cs="David"/>
          <w:rtl/>
        </w:rPr>
        <w:t>5.</w:t>
      </w:r>
      <w:r>
        <w:rPr>
          <w:rFonts w:cs="David"/>
          <w:rtl/>
        </w:rPr>
        <w:tab/>
        <w:t>אשר לטענה הראשונה, בדבר עניינה של המבקשת בערר ובתוצאותיו, יש לציין שהמבקשת איננה עשויה להיפגע, מהבחינה המשפטית, עקב ההחלטה בערר.</w:t>
      </w:r>
    </w:p>
    <w:p w14:paraId="5D0E8190" w14:textId="77777777" w:rsidR="00000000" w:rsidRDefault="004D1944">
      <w:pPr>
        <w:spacing w:before="0"/>
        <w:ind w:left="720"/>
        <w:rPr>
          <w:rFonts w:cs="David"/>
          <w:sz w:val="24"/>
          <w:rtl/>
          <w:lang w:eastAsia="en-US"/>
        </w:rPr>
      </w:pPr>
    </w:p>
    <w:p w14:paraId="108D5053" w14:textId="77777777" w:rsidR="00000000" w:rsidRDefault="004D1944">
      <w:pPr>
        <w:spacing w:before="0"/>
        <w:ind w:left="720"/>
        <w:rPr>
          <w:rFonts w:cs="David"/>
          <w:sz w:val="24"/>
          <w:rtl/>
          <w:lang w:eastAsia="en-US"/>
        </w:rPr>
      </w:pPr>
      <w:r>
        <w:rPr>
          <w:rFonts w:cs="David"/>
          <w:sz w:val="24"/>
          <w:rtl/>
          <w:lang w:eastAsia="en-US"/>
        </w:rPr>
        <w:t>לעניי</w:t>
      </w:r>
      <w:r>
        <w:rPr>
          <w:rFonts w:cs="David"/>
          <w:sz w:val="24"/>
          <w:rtl/>
          <w:lang w:eastAsia="en-US"/>
        </w:rPr>
        <w:t>ן זה כבר נפסק, שקביעת הממונה לפי סעיף 43 לחוק "</w:t>
      </w:r>
      <w:r>
        <w:rPr>
          <w:rFonts w:cs="David"/>
          <w:b/>
          <w:bCs/>
          <w:sz w:val="24"/>
          <w:rtl/>
          <w:lang w:eastAsia="en-US"/>
        </w:rPr>
        <w:t xml:space="preserve">היא בעלת אופי הצהרתי... נפקותה המעשית המתבטאת בהיותה "ראיה לכאורה לנקבע בה בכל הליך משפטי" (סעיף 43(ה) לחוק ההגבלים), אך בה עצמה אין משום הרשעה או הטלת חבות"... וכשם שבעצם קביעתו של הממונה, בדבר קיומו של הסדר </w:t>
      </w:r>
      <w:r>
        <w:rPr>
          <w:rFonts w:cs="David"/>
          <w:b/>
          <w:bCs/>
          <w:sz w:val="24"/>
          <w:rtl/>
          <w:lang w:eastAsia="en-US"/>
        </w:rPr>
        <w:t>כובל, אין כדי להטיל חברות, כך אין בביטולה או בצמצום היקפה של קביעת כזאת, כדי לזכות מחבות, ואף לא משום ראיה לכאורה להעדר חבות" (</w:t>
      </w:r>
      <w:r>
        <w:rPr>
          <w:rFonts w:cs="David"/>
          <w:sz w:val="24"/>
          <w:rtl/>
          <w:lang w:eastAsia="en-US"/>
        </w:rPr>
        <w:t xml:space="preserve">בג"צ 326/96 </w:t>
      </w:r>
      <w:r>
        <w:rPr>
          <w:rFonts w:cs="David"/>
          <w:b/>
          <w:bCs/>
          <w:sz w:val="24"/>
          <w:rtl/>
          <w:lang w:eastAsia="en-US"/>
        </w:rPr>
        <w:t xml:space="preserve">כספי ואח' נ' הממונה על ההגבלים העסקיים, </w:t>
      </w:r>
      <w:r>
        <w:rPr>
          <w:rFonts w:cs="David"/>
          <w:sz w:val="24"/>
          <w:rtl/>
          <w:lang w:eastAsia="en-US"/>
        </w:rPr>
        <w:t xml:space="preserve">פ"ד נ(5) 133, 154). הדברים נאמרו לגבי הכרזתו של הממונה על ההגבלים העסקיים על </w:t>
      </w:r>
      <w:r>
        <w:rPr>
          <w:rFonts w:cs="David"/>
          <w:sz w:val="24"/>
          <w:rtl/>
          <w:lang w:eastAsia="en-US"/>
        </w:rPr>
        <w:t>קיומו של הסדר כובל מכוח סעיף 43(א)(1) לחוק, אך הם יפים גם לגבי ההכרזה של הממונה על קיומו בעל מונופולין מכוח סעיף 26 לחוק (יחד עם סעיף 43 לחוק).</w:t>
      </w:r>
    </w:p>
    <w:p w14:paraId="184F3FEB" w14:textId="77777777" w:rsidR="00000000" w:rsidRDefault="004D1944">
      <w:pPr>
        <w:spacing w:before="0"/>
        <w:rPr>
          <w:rFonts w:cs="David"/>
          <w:sz w:val="24"/>
          <w:rtl/>
          <w:lang w:eastAsia="en-US"/>
        </w:rPr>
      </w:pPr>
    </w:p>
    <w:p w14:paraId="3353E3F4" w14:textId="77777777" w:rsidR="00000000" w:rsidRDefault="004D1944">
      <w:pPr>
        <w:spacing w:before="0"/>
        <w:ind w:left="720" w:hanging="720"/>
        <w:rPr>
          <w:rFonts w:cs="David"/>
          <w:sz w:val="24"/>
          <w:rtl/>
          <w:lang w:eastAsia="en-US"/>
        </w:rPr>
      </w:pPr>
      <w:r>
        <w:rPr>
          <w:rFonts w:cs="David"/>
          <w:sz w:val="24"/>
          <w:rtl/>
          <w:lang w:eastAsia="en-US"/>
        </w:rPr>
        <w:t>6.</w:t>
      </w:r>
      <w:r>
        <w:rPr>
          <w:rFonts w:cs="David"/>
          <w:sz w:val="24"/>
          <w:rtl/>
          <w:lang w:eastAsia="en-US"/>
        </w:rPr>
        <w:tab/>
        <w:t xml:space="preserve">ההכרזה על קיומו של בעל מונופולין, כמוה כהכרזה על קיומו של הסדר כובל, היא הכרזה דקלרטיבית (ראה: ערר 7/95 </w:t>
      </w:r>
      <w:r>
        <w:rPr>
          <w:rFonts w:cs="David"/>
          <w:b/>
          <w:bCs/>
          <w:sz w:val="24"/>
          <w:rtl/>
          <w:lang w:eastAsia="en-US"/>
        </w:rPr>
        <w:t xml:space="preserve">בזק </w:t>
      </w:r>
      <w:r>
        <w:rPr>
          <w:rFonts w:cs="David"/>
          <w:b/>
          <w:bCs/>
          <w:sz w:val="24"/>
          <w:rtl/>
          <w:lang w:eastAsia="en-US"/>
        </w:rPr>
        <w:t xml:space="preserve">החברה הישראלית לתקשורת בע"מ נ' הממונה על ההגבלים העסקיים </w:t>
      </w:r>
      <w:r>
        <w:rPr>
          <w:rFonts w:cs="David"/>
          <w:sz w:val="24"/>
          <w:rtl/>
          <w:lang w:eastAsia="en-US"/>
        </w:rPr>
        <w:t xml:space="preserve">(לא פורסם): ה.פ. 109/90 (ת"א) </w:t>
      </w:r>
      <w:r>
        <w:rPr>
          <w:rFonts w:cs="David"/>
          <w:b/>
          <w:bCs/>
          <w:sz w:val="24"/>
          <w:rtl/>
          <w:lang w:eastAsia="en-US"/>
        </w:rPr>
        <w:t xml:space="preserve">הוצאת עיתון הארץ נגד שירותי פרסומת בשידור </w:t>
      </w:r>
      <w:r>
        <w:rPr>
          <w:rFonts w:cs="David"/>
          <w:sz w:val="24"/>
          <w:rtl/>
          <w:lang w:eastAsia="en-US"/>
        </w:rPr>
        <w:t xml:space="preserve">(לא פורסם) ו- ת.א. (י-ם) </w:t>
      </w:r>
      <w:r>
        <w:rPr>
          <w:rFonts w:cs="David"/>
          <w:b/>
          <w:bCs/>
          <w:sz w:val="24"/>
          <w:rtl/>
          <w:lang w:eastAsia="en-US"/>
        </w:rPr>
        <w:t>808/93</w:t>
      </w:r>
      <w:r>
        <w:rPr>
          <w:rFonts w:cs="David"/>
          <w:sz w:val="24"/>
          <w:rtl/>
          <w:lang w:eastAsia="en-US"/>
        </w:rPr>
        <w:t xml:space="preserve"> שירותי תעופה בע"מ נגד </w:t>
      </w:r>
      <w:r>
        <w:rPr>
          <w:rFonts w:cs="David"/>
          <w:sz w:val="24"/>
          <w:lang w:eastAsia="en-US"/>
        </w:rPr>
        <w:t>Tower Air</w:t>
      </w:r>
      <w:r>
        <w:rPr>
          <w:rFonts w:cs="David"/>
          <w:sz w:val="24"/>
          <w:rtl/>
          <w:lang w:eastAsia="en-US"/>
        </w:rPr>
        <w:t xml:space="preserve"> (לא פורסם) ) ההכרזה אינה משנה את מעמדן המשפטי של העוררות ואין ב</w:t>
      </w:r>
      <w:r>
        <w:rPr>
          <w:rFonts w:cs="David"/>
          <w:sz w:val="24"/>
          <w:rtl/>
          <w:lang w:eastAsia="en-US"/>
        </w:rPr>
        <w:t xml:space="preserve">ה כדי להטיל עליהן חובה כלשהי. מקל-וחומר, שאין בהכרזה כדי לפגוע או לשנות את מעמדה המשפטי של המבקשת או להטיל עליה חובות. מכאן שהמבקשת אינה עשויה להיפגע עקב ההליך ואין, על רקע זה, הצדקה לצרפה כצד להליך. </w:t>
      </w:r>
    </w:p>
    <w:p w14:paraId="345CC95B" w14:textId="77777777" w:rsidR="00000000" w:rsidRDefault="004D1944">
      <w:pPr>
        <w:spacing w:before="0"/>
        <w:rPr>
          <w:rFonts w:cs="David"/>
          <w:sz w:val="24"/>
          <w:rtl/>
          <w:lang w:eastAsia="en-US"/>
        </w:rPr>
      </w:pPr>
    </w:p>
    <w:p w14:paraId="66A566FF" w14:textId="77777777" w:rsidR="00000000" w:rsidRDefault="004D1944">
      <w:pPr>
        <w:spacing w:before="0"/>
        <w:ind w:left="720" w:hanging="720"/>
        <w:rPr>
          <w:rFonts w:cs="David"/>
          <w:sz w:val="24"/>
          <w:rtl/>
          <w:lang w:eastAsia="en-US"/>
        </w:rPr>
      </w:pPr>
      <w:r>
        <w:rPr>
          <w:rFonts w:cs="David"/>
          <w:sz w:val="24"/>
          <w:rtl/>
          <w:lang w:eastAsia="en-US"/>
        </w:rPr>
        <w:t>7.</w:t>
      </w:r>
      <w:r>
        <w:rPr>
          <w:rFonts w:cs="David"/>
          <w:sz w:val="24"/>
          <w:rtl/>
          <w:lang w:eastAsia="en-US"/>
        </w:rPr>
        <w:tab/>
        <w:t>פועלה היחיד של ההכרזה הוא ביצירת ראיה, אשר תוכל לשמ</w:t>
      </w:r>
      <w:r>
        <w:rPr>
          <w:rFonts w:cs="David"/>
          <w:sz w:val="24"/>
          <w:rtl/>
          <w:lang w:eastAsia="en-US"/>
        </w:rPr>
        <w:t>ש כראיה לכאורה בכל הליך משפטי, לפיו חברות הטל"כ הן אכן בעלות מונופולין.</w:t>
      </w:r>
    </w:p>
    <w:p w14:paraId="726D34A7" w14:textId="77777777" w:rsidR="00000000" w:rsidRDefault="004D1944">
      <w:pPr>
        <w:spacing w:before="0"/>
        <w:ind w:left="720"/>
        <w:rPr>
          <w:rFonts w:cs="David"/>
          <w:sz w:val="24"/>
          <w:rtl/>
          <w:lang w:eastAsia="en-US"/>
        </w:rPr>
      </w:pPr>
      <w:r>
        <w:rPr>
          <w:rFonts w:cs="David"/>
          <w:sz w:val="24"/>
          <w:rtl/>
          <w:lang w:eastAsia="en-US"/>
        </w:rPr>
        <w:t>ראיה כזו, אכן תוכל בעתיד לסייע ביד המבקשת בהתדיינויות אפשריות שתקוימנה בעתיד בינה לבין העוררות. אולם, טעם זה בלבד, אין בו די כדי להצדיק את הצירוף.</w:t>
      </w:r>
    </w:p>
    <w:p w14:paraId="6289D9B6" w14:textId="77777777" w:rsidR="00000000" w:rsidRDefault="004D1944">
      <w:pPr>
        <w:spacing w:before="0"/>
        <w:rPr>
          <w:rFonts w:cs="David"/>
          <w:sz w:val="24"/>
          <w:rtl/>
          <w:lang w:eastAsia="en-US"/>
        </w:rPr>
      </w:pPr>
    </w:p>
    <w:p w14:paraId="5D71FC73" w14:textId="77777777" w:rsidR="00000000" w:rsidRDefault="004D1944">
      <w:pPr>
        <w:spacing w:before="0"/>
        <w:rPr>
          <w:rFonts w:cs="David"/>
          <w:sz w:val="24"/>
          <w:rtl/>
          <w:lang w:eastAsia="en-US"/>
        </w:rPr>
      </w:pPr>
      <w:r>
        <w:rPr>
          <w:rFonts w:cs="David"/>
          <w:sz w:val="24"/>
          <w:rtl/>
          <w:lang w:eastAsia="en-US"/>
        </w:rPr>
        <w:br w:type="page"/>
      </w:r>
    </w:p>
    <w:p w14:paraId="78EE9FBD" w14:textId="77777777" w:rsidR="00000000" w:rsidRDefault="004D1944">
      <w:pPr>
        <w:spacing w:before="0"/>
        <w:ind w:left="720" w:hanging="720"/>
        <w:rPr>
          <w:rFonts w:cs="David"/>
          <w:sz w:val="24"/>
          <w:rtl/>
          <w:lang w:eastAsia="en-US"/>
        </w:rPr>
      </w:pPr>
      <w:r>
        <w:rPr>
          <w:rFonts w:cs="David"/>
          <w:sz w:val="24"/>
          <w:rtl/>
          <w:lang w:eastAsia="en-US"/>
        </w:rPr>
        <w:t>8.</w:t>
      </w:r>
      <w:r>
        <w:rPr>
          <w:rFonts w:cs="David"/>
          <w:sz w:val="24"/>
          <w:rtl/>
          <w:lang w:eastAsia="en-US"/>
        </w:rPr>
        <w:tab/>
        <w:t>איננו מקבלים, כטעם לצירוף, גם א</w:t>
      </w:r>
      <w:r>
        <w:rPr>
          <w:rFonts w:cs="David"/>
          <w:sz w:val="24"/>
          <w:rtl/>
          <w:lang w:eastAsia="en-US"/>
        </w:rPr>
        <w:t>ת הטענה שלמבקשת, כמתחרה פוטנציאלית של העוררות, יש "אינטרס כלכלי מובהק" בהכרזה. אותו "אינטרס כלכלי מובהק" עניינו, כפי שניתן להבין, במגבלות השונות העשויות לחול על העוררות, כמו איסור על ניצול לרעה של מעמדו של בעל מונופולין מכוח חוק ההגבלים העסקיים, אם יימצא ש</w:t>
      </w:r>
      <w:r>
        <w:rPr>
          <w:rFonts w:cs="David"/>
          <w:sz w:val="24"/>
          <w:rtl/>
          <w:lang w:eastAsia="en-US"/>
        </w:rPr>
        <w:t>הן בעלות מונופולין. הגבלות כאלה אמנם עשויות להקנות למבקשת יתרון בתחרות עם העוררות בשוק הטלוויזיה הרב ערוצית, אולם, ראשית, יתרון כלכלי כזה, אין בו כדי להצדיק את הצירוף. שנית, יתרון זה לא יצמח למבקשת מההכרזה עצמה, שהיא כאמור אקט דקלרטיבי בלבד, אלא מעצם העובד</w:t>
      </w:r>
      <w:r>
        <w:rPr>
          <w:rFonts w:cs="David"/>
          <w:sz w:val="24"/>
          <w:rtl/>
          <w:lang w:eastAsia="en-US"/>
        </w:rPr>
        <w:t>ה שהעוררות הן בעלות מונופולין. משמע, אין מדובר ביצירת או אובדן ה"יתרון" עצמו אלא בדרכי הוכחתו, עניין שאינו מצדיק, כפי שכבר נאמר, את הצירוף. שלישית, בשלב זה, אין עסקינן בדרכי ההתנהגות של העוררות, שבהן, אולי, עשוי להיות למבקשת עניין אם הן פוגעות בה, אלא בשלב</w:t>
      </w:r>
      <w:r>
        <w:rPr>
          <w:rFonts w:cs="David"/>
          <w:sz w:val="24"/>
          <w:rtl/>
          <w:lang w:eastAsia="en-US"/>
        </w:rPr>
        <w:t xml:space="preserve"> המקדמי של בירור מעמדן כבעלות מונופולין, ובכך אין למבקשת עניין ישיר. שהרי לא יעלה על הדעת לצרף להליך מעין זה של ערר על הכרזה כבעל מונופולין, כל מי שעשוי יהיה להיפגע בעתיד, או אפילו כל מי שנפגע בעבר. מהתנהגותו של אותו בעל מונופולין.</w:t>
      </w:r>
    </w:p>
    <w:p w14:paraId="75731F4D" w14:textId="77777777" w:rsidR="00000000" w:rsidRDefault="004D1944">
      <w:pPr>
        <w:spacing w:before="0"/>
        <w:rPr>
          <w:rFonts w:cs="David"/>
          <w:sz w:val="24"/>
          <w:rtl/>
          <w:lang w:eastAsia="en-US"/>
        </w:rPr>
      </w:pPr>
    </w:p>
    <w:p w14:paraId="5C84C0BC" w14:textId="77777777" w:rsidR="00000000" w:rsidRDefault="004D1944">
      <w:pPr>
        <w:spacing w:before="0"/>
        <w:ind w:left="720" w:hanging="720"/>
        <w:rPr>
          <w:rFonts w:cs="David"/>
          <w:sz w:val="24"/>
          <w:rtl/>
          <w:lang w:eastAsia="en-US"/>
        </w:rPr>
      </w:pPr>
      <w:r>
        <w:rPr>
          <w:rFonts w:cs="David"/>
          <w:sz w:val="24"/>
          <w:rtl/>
          <w:lang w:eastAsia="en-US"/>
        </w:rPr>
        <w:t>9.</w:t>
      </w:r>
      <w:r>
        <w:rPr>
          <w:rFonts w:cs="David"/>
          <w:sz w:val="24"/>
          <w:rtl/>
          <w:lang w:eastAsia="en-US"/>
        </w:rPr>
        <w:tab/>
        <w:t xml:space="preserve">נימוק חשוב בהקשר זה </w:t>
      </w:r>
      <w:r>
        <w:rPr>
          <w:rFonts w:cs="David"/>
          <w:sz w:val="24"/>
          <w:rtl/>
          <w:lang w:eastAsia="en-US"/>
        </w:rPr>
        <w:t xml:space="preserve">נוגע לתרומתו של הצירוף להליך. אולם, טענתה של המבקשת, לפיה בידה </w:t>
      </w:r>
      <w:r>
        <w:rPr>
          <w:rFonts w:cs="David"/>
          <w:b/>
          <w:bCs/>
          <w:sz w:val="24"/>
          <w:rtl/>
          <w:lang w:eastAsia="en-US"/>
        </w:rPr>
        <w:t xml:space="preserve">"הכלים, הנתונים והידע אשר עשויים לספק מענה הולם לטענותיהן של העוררות", </w:t>
      </w:r>
      <w:r>
        <w:rPr>
          <w:rFonts w:cs="David"/>
          <w:sz w:val="24"/>
          <w:rtl/>
          <w:lang w:eastAsia="en-US"/>
        </w:rPr>
        <w:t>וכי בידה</w:t>
      </w:r>
      <w:r>
        <w:rPr>
          <w:rFonts w:cs="David"/>
          <w:b/>
          <w:bCs/>
          <w:sz w:val="24"/>
          <w:rtl/>
          <w:lang w:eastAsia="en-US"/>
        </w:rPr>
        <w:t xml:space="preserve"> "להביא בפני בית הדין קשת מלאה יותר של שיקולים" – </w:t>
      </w:r>
      <w:r>
        <w:rPr>
          <w:rFonts w:cs="David"/>
          <w:sz w:val="24"/>
          <w:rtl/>
          <w:lang w:eastAsia="en-US"/>
        </w:rPr>
        <w:t>נטענה באופן כללי וסתמי, ולא שוכנענו כי יש בצירופה כדי לתרום לדיו</w:t>
      </w:r>
      <w:r>
        <w:rPr>
          <w:rFonts w:cs="David"/>
          <w:sz w:val="24"/>
          <w:rtl/>
          <w:lang w:eastAsia="en-US"/>
        </w:rPr>
        <w:t>ן.</w:t>
      </w:r>
    </w:p>
    <w:p w14:paraId="6BE2DE8F" w14:textId="77777777" w:rsidR="00000000" w:rsidRDefault="004D1944">
      <w:pPr>
        <w:spacing w:before="0"/>
        <w:ind w:left="720"/>
        <w:rPr>
          <w:rFonts w:cs="David"/>
          <w:sz w:val="24"/>
          <w:rtl/>
          <w:lang w:eastAsia="en-US"/>
        </w:rPr>
      </w:pPr>
      <w:r>
        <w:rPr>
          <w:rFonts w:cs="David"/>
          <w:sz w:val="24"/>
          <w:rtl/>
          <w:lang w:eastAsia="en-US"/>
        </w:rPr>
        <w:t>בכל מקרה, אם בידה של המבקשת מידע וראיות העשויות לתרום לדיון, אין מניעה כי תעמידם לרשותו של הממונה על ההגבלים העסקיים, אשר חזקה עליו שידע לעשות בו שימוש מושכל שיתרום לבירור ההליך.</w:t>
      </w:r>
    </w:p>
    <w:p w14:paraId="79811439" w14:textId="77777777" w:rsidR="00000000" w:rsidRDefault="004D1944">
      <w:pPr>
        <w:spacing w:before="0"/>
        <w:rPr>
          <w:rFonts w:cs="David"/>
          <w:sz w:val="24"/>
          <w:rtl/>
          <w:lang w:eastAsia="en-US"/>
        </w:rPr>
      </w:pPr>
    </w:p>
    <w:p w14:paraId="67F1CDB5" w14:textId="77777777" w:rsidR="00000000" w:rsidRDefault="004D1944">
      <w:pPr>
        <w:spacing w:before="0"/>
        <w:ind w:left="720" w:hanging="720"/>
        <w:rPr>
          <w:rFonts w:cs="David"/>
          <w:sz w:val="24"/>
          <w:rtl/>
          <w:lang w:eastAsia="en-US"/>
        </w:rPr>
      </w:pPr>
      <w:r>
        <w:rPr>
          <w:rFonts w:cs="David"/>
          <w:sz w:val="24"/>
          <w:rtl/>
          <w:lang w:eastAsia="en-US"/>
        </w:rPr>
        <w:t>10.</w:t>
      </w:r>
      <w:r>
        <w:rPr>
          <w:rFonts w:cs="David"/>
          <w:sz w:val="24"/>
          <w:rtl/>
          <w:lang w:eastAsia="en-US"/>
        </w:rPr>
        <w:tab/>
        <w:t>המבקשת 2 ומבקשים נוספים הנמנים על יישובי גבול הצפון (להלן יכונו "המבק</w:t>
      </w:r>
      <w:r>
        <w:rPr>
          <w:rFonts w:cs="David"/>
          <w:sz w:val="24"/>
          <w:rtl/>
          <w:lang w:eastAsia="en-US"/>
        </w:rPr>
        <w:t xml:space="preserve">שת 2") פנתה במכתב מיום 5.3.00 לבית הדין, על-ידי בא-כוחה עו"ד ז. רוזנבלום, וביקשה גם היא להצטרף לדיון. ואולם, כל טענתה בתמיכה לבקשה היתה כי </w:t>
      </w:r>
      <w:r>
        <w:rPr>
          <w:rFonts w:cs="David"/>
          <w:b/>
          <w:bCs/>
          <w:sz w:val="24"/>
          <w:rtl/>
          <w:lang w:eastAsia="en-US"/>
        </w:rPr>
        <w:t>"למבקשים אינטרס ישיר בעניין ומן הראוי כי קולם יישמע והם יצורפו כצד לדיון בערעור זה, כמי שעלולים להיהפך לנפגעים פוטנצי</w:t>
      </w:r>
      <w:r>
        <w:rPr>
          <w:rFonts w:cs="David"/>
          <w:b/>
          <w:bCs/>
          <w:sz w:val="24"/>
          <w:rtl/>
          <w:lang w:eastAsia="en-US"/>
        </w:rPr>
        <w:t>אלים מההחלטות שיתקבלו על-ידי בית הדין".</w:t>
      </w:r>
    </w:p>
    <w:p w14:paraId="426D9476" w14:textId="77777777" w:rsidR="00000000" w:rsidRDefault="004D1944">
      <w:pPr>
        <w:spacing w:before="0"/>
        <w:ind w:left="720" w:hanging="720"/>
        <w:rPr>
          <w:rFonts w:cs="David"/>
          <w:sz w:val="24"/>
          <w:rtl/>
          <w:lang w:eastAsia="en-US"/>
        </w:rPr>
      </w:pPr>
      <w:r>
        <w:rPr>
          <w:rFonts w:cs="David"/>
          <w:sz w:val="24"/>
          <w:rtl/>
          <w:lang w:eastAsia="en-US"/>
        </w:rPr>
        <w:tab/>
        <w:t>המבקשת 2 לא פירטה בבקשתה במה היא עשויה להיפגע עקב החלטת בית הדין, ואנו סבורים שאין בהחלטת בית הדין, גם אם יתקבל הערר, כדי לפגוע במבקשת 2.</w:t>
      </w:r>
    </w:p>
    <w:p w14:paraId="00E54871" w14:textId="77777777" w:rsidR="00000000" w:rsidRDefault="004D1944">
      <w:pPr>
        <w:spacing w:before="0"/>
        <w:ind w:left="720" w:hanging="720"/>
        <w:rPr>
          <w:rFonts w:cs="David"/>
          <w:sz w:val="24"/>
          <w:rtl/>
          <w:lang w:eastAsia="en-US"/>
        </w:rPr>
      </w:pPr>
      <w:r>
        <w:rPr>
          <w:rFonts w:cs="David"/>
          <w:sz w:val="24"/>
          <w:rtl/>
          <w:lang w:eastAsia="en-US"/>
        </w:rPr>
        <w:br w:type="page"/>
      </w:r>
    </w:p>
    <w:p w14:paraId="7718B4CB" w14:textId="77777777" w:rsidR="00000000" w:rsidRDefault="004D1944">
      <w:pPr>
        <w:spacing w:before="0"/>
        <w:ind w:left="720" w:hanging="720"/>
        <w:rPr>
          <w:rFonts w:cs="David"/>
          <w:sz w:val="24"/>
          <w:rtl/>
          <w:lang w:eastAsia="en-US"/>
        </w:rPr>
      </w:pPr>
      <w:r>
        <w:rPr>
          <w:rFonts w:cs="David"/>
          <w:sz w:val="24"/>
          <w:rtl/>
          <w:lang w:eastAsia="en-US"/>
        </w:rPr>
        <w:tab/>
        <w:t>המבקשת צירפה לבקשתה עותק של תובענה ייצוגית שהגישה נגד חברת "מתב" ובה היא ט</w:t>
      </w:r>
      <w:r>
        <w:rPr>
          <w:rFonts w:cs="David"/>
          <w:sz w:val="24"/>
          <w:rtl/>
          <w:lang w:eastAsia="en-US"/>
        </w:rPr>
        <w:t>וענת, בין היתר, כי חברת "מתב" מקיימת בידה מונופולין על שירותי הטלוויזיה בכבלים באזור הצפון וכי ניצלה לרעה את מעמדה כבעלת מונופולין בכך שלא סיימה עד עתה את פריסת התשתית הנדרשת להולכת השידורים בכבלים.</w:t>
      </w:r>
    </w:p>
    <w:p w14:paraId="09DCD439" w14:textId="77777777" w:rsidR="00000000" w:rsidRDefault="004D1944">
      <w:pPr>
        <w:spacing w:before="0"/>
        <w:ind w:left="720" w:hanging="720"/>
        <w:rPr>
          <w:rFonts w:cs="David"/>
          <w:sz w:val="24"/>
          <w:rtl/>
          <w:lang w:eastAsia="en-US"/>
        </w:rPr>
      </w:pPr>
      <w:r>
        <w:rPr>
          <w:rFonts w:cs="David"/>
          <w:sz w:val="24"/>
          <w:rtl/>
          <w:lang w:eastAsia="en-US"/>
        </w:rPr>
        <w:tab/>
        <w:t xml:space="preserve">בהקשר זה, הנזק העשוי להיגרם למבקשת 2 עקב קבלת הערר יבוא </w:t>
      </w:r>
      <w:r>
        <w:rPr>
          <w:rFonts w:cs="David"/>
          <w:sz w:val="24"/>
          <w:rtl/>
          <w:lang w:eastAsia="en-US"/>
        </w:rPr>
        <w:t>לידי ביטוי ב"אובדן" ראיה, לפיו הנתבעת באותה תובענה ייצוגית היא בעלת מונופולין. אינטרס זה, כפי שכבר נאמר, אין בו כדי להצדיק את צירופה של המבקשת 2 להליך.</w:t>
      </w:r>
    </w:p>
    <w:p w14:paraId="77C6531D" w14:textId="77777777" w:rsidR="00000000" w:rsidRDefault="004D1944">
      <w:pPr>
        <w:spacing w:before="0"/>
        <w:ind w:left="720" w:hanging="720"/>
        <w:rPr>
          <w:rFonts w:cs="David"/>
          <w:sz w:val="24"/>
          <w:rtl/>
          <w:lang w:eastAsia="en-US"/>
        </w:rPr>
      </w:pPr>
    </w:p>
    <w:p w14:paraId="0E6F7986" w14:textId="77777777" w:rsidR="00000000" w:rsidRDefault="004D1944">
      <w:pPr>
        <w:spacing w:before="0"/>
        <w:ind w:left="720" w:hanging="720"/>
        <w:rPr>
          <w:rFonts w:cs="David"/>
          <w:sz w:val="24"/>
          <w:rtl/>
          <w:lang w:eastAsia="en-US"/>
        </w:rPr>
      </w:pPr>
      <w:r>
        <w:rPr>
          <w:rFonts w:cs="David"/>
          <w:sz w:val="24"/>
          <w:rtl/>
          <w:lang w:eastAsia="en-US"/>
        </w:rPr>
        <w:t>11.</w:t>
      </w:r>
      <w:r>
        <w:rPr>
          <w:rFonts w:cs="David"/>
          <w:sz w:val="24"/>
          <w:rtl/>
          <w:lang w:eastAsia="en-US"/>
        </w:rPr>
        <w:tab/>
        <w:t>לאור האמור, אנו דוחים את בקשות ההצטרפות.</w:t>
      </w:r>
    </w:p>
    <w:p w14:paraId="6595B210" w14:textId="77777777" w:rsidR="00000000" w:rsidRDefault="004D1944">
      <w:pPr>
        <w:spacing w:before="0"/>
        <w:ind w:left="720" w:hanging="720"/>
        <w:rPr>
          <w:rFonts w:cs="David"/>
          <w:sz w:val="24"/>
          <w:rtl/>
          <w:lang w:eastAsia="en-US"/>
        </w:rPr>
      </w:pPr>
    </w:p>
    <w:p w14:paraId="3ADD0C58" w14:textId="77777777" w:rsidR="00000000" w:rsidRDefault="004D1944">
      <w:pPr>
        <w:spacing w:before="0"/>
        <w:ind w:left="720" w:hanging="720"/>
        <w:rPr>
          <w:rFonts w:cs="David"/>
          <w:b/>
          <w:bCs/>
          <w:sz w:val="24"/>
          <w:rtl/>
          <w:lang w:eastAsia="en-US"/>
        </w:rPr>
      </w:pPr>
      <w:r>
        <w:rPr>
          <w:rFonts w:cs="David"/>
          <w:b/>
          <w:bCs/>
          <w:sz w:val="24"/>
          <w:rtl/>
          <w:lang w:eastAsia="en-US"/>
        </w:rPr>
        <w:t xml:space="preserve">ניתנה היום </w:t>
      </w:r>
      <w:r>
        <w:rPr>
          <w:rFonts w:cs="David"/>
          <w:b/>
          <w:bCs/>
          <w:sz w:val="24"/>
          <w:u w:val="single"/>
          <w:rtl/>
          <w:lang w:eastAsia="en-US"/>
        </w:rPr>
        <w:t>5/2/2001</w:t>
      </w:r>
      <w:r>
        <w:rPr>
          <w:rFonts w:cs="David"/>
          <w:b/>
          <w:bCs/>
          <w:sz w:val="24"/>
          <w:rtl/>
          <w:lang w:eastAsia="en-US"/>
        </w:rPr>
        <w:t>, בהעדר הצדדים.</w:t>
      </w:r>
    </w:p>
    <w:p w14:paraId="4D2F6176" w14:textId="77777777" w:rsidR="00000000" w:rsidRDefault="004D1944">
      <w:pPr>
        <w:spacing w:before="0"/>
        <w:ind w:left="720" w:hanging="720"/>
        <w:rPr>
          <w:rFonts w:cs="David"/>
          <w:b/>
          <w:bCs/>
          <w:sz w:val="24"/>
          <w:rtl/>
          <w:lang w:eastAsia="en-US"/>
        </w:rPr>
      </w:pPr>
    </w:p>
    <w:p w14:paraId="2DBACF60" w14:textId="77777777" w:rsidR="00000000" w:rsidRDefault="004D1944">
      <w:pPr>
        <w:spacing w:before="0"/>
        <w:ind w:left="720" w:hanging="720"/>
        <w:rPr>
          <w:rFonts w:cs="David"/>
          <w:b/>
          <w:bCs/>
          <w:sz w:val="24"/>
          <w:rtl/>
          <w:lang w:eastAsia="en-US"/>
        </w:rPr>
      </w:pPr>
      <w:r>
        <w:rPr>
          <w:rFonts w:cs="David"/>
          <w:b/>
          <w:bCs/>
          <w:sz w:val="24"/>
          <w:rtl/>
          <w:lang w:eastAsia="en-US"/>
        </w:rPr>
        <w:t xml:space="preserve">המזכירות תמציא העתק </w:t>
      </w:r>
      <w:r>
        <w:rPr>
          <w:rFonts w:cs="David"/>
          <w:b/>
          <w:bCs/>
          <w:sz w:val="24"/>
          <w:rtl/>
          <w:lang w:eastAsia="en-US"/>
        </w:rPr>
        <w:t>ההחלטה לב"כ הצדדים.</w:t>
      </w:r>
    </w:p>
    <w:p w14:paraId="72B251BD" w14:textId="77777777" w:rsidR="00000000" w:rsidRDefault="004D1944">
      <w:pPr>
        <w:spacing w:before="0"/>
        <w:ind w:left="720" w:hanging="720"/>
        <w:rPr>
          <w:rFonts w:cs="David"/>
          <w:b/>
          <w:bCs/>
          <w:sz w:val="24"/>
          <w:rtl/>
          <w:lang w:eastAsia="en-US"/>
        </w:rPr>
      </w:pPr>
    </w:p>
    <w:tbl>
      <w:tblPr>
        <w:bidiVisual/>
        <w:tblW w:w="0" w:type="auto"/>
        <w:jc w:val="right"/>
        <w:tblLook w:val="0000" w:firstRow="0" w:lastRow="0" w:firstColumn="0" w:lastColumn="0" w:noHBand="0" w:noVBand="0"/>
      </w:tblPr>
      <w:tblGrid>
        <w:gridCol w:w="2594"/>
        <w:gridCol w:w="425"/>
        <w:gridCol w:w="2126"/>
        <w:gridCol w:w="284"/>
        <w:gridCol w:w="2376"/>
      </w:tblGrid>
      <w:tr w:rsidR="00ED130D" w14:paraId="74EFF1F1" w14:textId="77777777" w:rsidTr="00ED130D">
        <w:tblPrEx>
          <w:tblCellMar>
            <w:top w:w="0" w:type="dxa"/>
            <w:bottom w:w="0" w:type="dxa"/>
          </w:tblCellMar>
        </w:tblPrEx>
        <w:trPr>
          <w:jc w:val="right"/>
        </w:trPr>
        <w:tc>
          <w:tcPr>
            <w:tcW w:w="2594" w:type="dxa"/>
            <w:tcBorders>
              <w:top w:val="nil"/>
              <w:left w:val="nil"/>
              <w:bottom w:val="single" w:sz="4" w:space="0" w:color="auto"/>
              <w:right w:val="nil"/>
            </w:tcBorders>
          </w:tcPr>
          <w:p w14:paraId="3DF6C4E2" w14:textId="77777777" w:rsidR="00ED130D" w:rsidRDefault="00ED130D">
            <w:pPr>
              <w:spacing w:before="0"/>
              <w:rPr>
                <w:rFonts w:cs="David"/>
                <w:b/>
                <w:bCs/>
                <w:sz w:val="24"/>
                <w:rtl/>
                <w:lang w:eastAsia="en-US"/>
              </w:rPr>
            </w:pPr>
          </w:p>
        </w:tc>
        <w:tc>
          <w:tcPr>
            <w:tcW w:w="425" w:type="dxa"/>
            <w:tcBorders>
              <w:top w:val="nil"/>
              <w:left w:val="nil"/>
              <w:bottom w:val="nil"/>
              <w:right w:val="nil"/>
            </w:tcBorders>
          </w:tcPr>
          <w:p w14:paraId="3EEBEA71" w14:textId="77777777" w:rsidR="00ED130D" w:rsidRDefault="00ED130D">
            <w:pPr>
              <w:spacing w:before="0"/>
              <w:rPr>
                <w:rFonts w:cs="David"/>
                <w:b/>
                <w:bCs/>
                <w:sz w:val="24"/>
                <w:rtl/>
                <w:lang w:eastAsia="en-US"/>
              </w:rPr>
            </w:pPr>
          </w:p>
        </w:tc>
        <w:tc>
          <w:tcPr>
            <w:tcW w:w="2126" w:type="dxa"/>
            <w:tcBorders>
              <w:top w:val="nil"/>
              <w:left w:val="nil"/>
              <w:bottom w:val="single" w:sz="4" w:space="0" w:color="auto"/>
              <w:right w:val="nil"/>
            </w:tcBorders>
          </w:tcPr>
          <w:p w14:paraId="7B8DD0CE" w14:textId="77777777" w:rsidR="00ED130D" w:rsidRDefault="00ED130D">
            <w:pPr>
              <w:spacing w:before="0"/>
              <w:rPr>
                <w:rFonts w:cs="David"/>
                <w:b/>
                <w:bCs/>
                <w:sz w:val="24"/>
                <w:rtl/>
                <w:lang w:eastAsia="en-US"/>
              </w:rPr>
            </w:pPr>
          </w:p>
        </w:tc>
        <w:tc>
          <w:tcPr>
            <w:tcW w:w="284" w:type="dxa"/>
            <w:tcBorders>
              <w:top w:val="nil"/>
              <w:left w:val="nil"/>
              <w:bottom w:val="nil"/>
              <w:right w:val="nil"/>
            </w:tcBorders>
          </w:tcPr>
          <w:p w14:paraId="0A907449" w14:textId="77777777" w:rsidR="00ED130D" w:rsidRDefault="00ED130D">
            <w:pPr>
              <w:spacing w:before="0"/>
              <w:rPr>
                <w:rFonts w:cs="David"/>
                <w:b/>
                <w:bCs/>
                <w:sz w:val="24"/>
                <w:rtl/>
                <w:lang w:eastAsia="en-US"/>
              </w:rPr>
            </w:pPr>
          </w:p>
        </w:tc>
        <w:tc>
          <w:tcPr>
            <w:tcW w:w="2376" w:type="dxa"/>
            <w:tcBorders>
              <w:top w:val="nil"/>
              <w:left w:val="nil"/>
              <w:bottom w:val="single" w:sz="4" w:space="0" w:color="auto"/>
              <w:right w:val="nil"/>
            </w:tcBorders>
          </w:tcPr>
          <w:p w14:paraId="62C9DB53" w14:textId="77777777" w:rsidR="00ED130D" w:rsidRDefault="00ED130D">
            <w:pPr>
              <w:spacing w:before="0"/>
              <w:rPr>
                <w:rFonts w:cs="David"/>
                <w:b/>
                <w:bCs/>
                <w:sz w:val="24"/>
                <w:rtl/>
                <w:lang w:eastAsia="en-US"/>
              </w:rPr>
            </w:pPr>
          </w:p>
        </w:tc>
      </w:tr>
      <w:tr w:rsidR="00ED130D" w14:paraId="2DBB29D3" w14:textId="77777777" w:rsidTr="00ED130D">
        <w:tblPrEx>
          <w:tblCellMar>
            <w:top w:w="0" w:type="dxa"/>
            <w:bottom w:w="0" w:type="dxa"/>
          </w:tblCellMar>
        </w:tblPrEx>
        <w:trPr>
          <w:jc w:val="right"/>
        </w:trPr>
        <w:tc>
          <w:tcPr>
            <w:tcW w:w="2594" w:type="dxa"/>
            <w:tcBorders>
              <w:top w:val="single" w:sz="4" w:space="0" w:color="auto"/>
              <w:left w:val="nil"/>
              <w:bottom w:val="nil"/>
              <w:right w:val="nil"/>
            </w:tcBorders>
          </w:tcPr>
          <w:p w14:paraId="34218EE1" w14:textId="77777777" w:rsidR="00ED130D" w:rsidRDefault="00ED130D">
            <w:pPr>
              <w:spacing w:before="0"/>
              <w:jc w:val="center"/>
              <w:rPr>
                <w:rFonts w:cs="David"/>
                <w:b/>
                <w:bCs/>
                <w:sz w:val="24"/>
                <w:rtl/>
                <w:lang w:eastAsia="en-US"/>
              </w:rPr>
            </w:pPr>
            <w:r>
              <w:rPr>
                <w:rFonts w:cs="David"/>
                <w:b/>
                <w:bCs/>
                <w:sz w:val="24"/>
                <w:rtl/>
                <w:lang w:eastAsia="en-US"/>
              </w:rPr>
              <w:t>י. עדיאל, שופט</w:t>
            </w:r>
          </w:p>
          <w:p w14:paraId="06732FF9" w14:textId="77777777" w:rsidR="00ED130D" w:rsidRDefault="00ED130D">
            <w:pPr>
              <w:spacing w:before="0"/>
              <w:jc w:val="center"/>
              <w:rPr>
                <w:rFonts w:cs="David"/>
                <w:b/>
                <w:bCs/>
                <w:sz w:val="24"/>
                <w:rtl/>
                <w:lang w:eastAsia="en-US"/>
              </w:rPr>
            </w:pPr>
            <w:r>
              <w:rPr>
                <w:rFonts w:cs="David"/>
                <w:b/>
                <w:bCs/>
                <w:sz w:val="24"/>
                <w:rtl/>
                <w:lang w:eastAsia="en-US"/>
              </w:rPr>
              <w:t>מ"מ אב בית הדין</w:t>
            </w:r>
          </w:p>
        </w:tc>
        <w:tc>
          <w:tcPr>
            <w:tcW w:w="425" w:type="dxa"/>
            <w:tcBorders>
              <w:top w:val="nil"/>
              <w:left w:val="nil"/>
              <w:bottom w:val="nil"/>
              <w:right w:val="nil"/>
            </w:tcBorders>
          </w:tcPr>
          <w:p w14:paraId="0C041BF5" w14:textId="77777777" w:rsidR="00ED130D" w:rsidRDefault="00ED130D">
            <w:pPr>
              <w:spacing w:before="0"/>
              <w:jc w:val="center"/>
              <w:rPr>
                <w:rFonts w:cs="David"/>
                <w:b/>
                <w:bCs/>
                <w:sz w:val="24"/>
                <w:rtl/>
                <w:lang w:eastAsia="en-US"/>
              </w:rPr>
            </w:pPr>
          </w:p>
        </w:tc>
        <w:tc>
          <w:tcPr>
            <w:tcW w:w="2126" w:type="dxa"/>
            <w:tcBorders>
              <w:top w:val="single" w:sz="4" w:space="0" w:color="auto"/>
              <w:left w:val="nil"/>
              <w:bottom w:val="nil"/>
              <w:right w:val="nil"/>
            </w:tcBorders>
          </w:tcPr>
          <w:p w14:paraId="14B137D6" w14:textId="77777777" w:rsidR="00ED130D" w:rsidRDefault="00ED130D">
            <w:pPr>
              <w:spacing w:before="0"/>
              <w:jc w:val="center"/>
              <w:rPr>
                <w:rFonts w:cs="David"/>
                <w:b/>
                <w:bCs/>
                <w:sz w:val="24"/>
                <w:rtl/>
                <w:lang w:eastAsia="en-US"/>
              </w:rPr>
            </w:pPr>
            <w:r>
              <w:rPr>
                <w:rFonts w:cs="David"/>
                <w:b/>
                <w:bCs/>
                <w:sz w:val="24"/>
                <w:rtl/>
                <w:lang w:eastAsia="en-US"/>
              </w:rPr>
              <w:t>ד"ר יוג'ין קנדל</w:t>
            </w:r>
          </w:p>
          <w:p w14:paraId="6DB7B833" w14:textId="77777777" w:rsidR="00ED130D" w:rsidRDefault="00ED130D">
            <w:pPr>
              <w:spacing w:before="0"/>
              <w:jc w:val="center"/>
              <w:rPr>
                <w:rFonts w:cs="David"/>
                <w:b/>
                <w:bCs/>
                <w:sz w:val="24"/>
                <w:rtl/>
                <w:lang w:eastAsia="en-US"/>
              </w:rPr>
            </w:pPr>
            <w:r>
              <w:rPr>
                <w:rFonts w:cs="David"/>
                <w:b/>
                <w:bCs/>
                <w:sz w:val="24"/>
                <w:rtl/>
                <w:lang w:eastAsia="en-US"/>
              </w:rPr>
              <w:t>חבר</w:t>
            </w:r>
          </w:p>
        </w:tc>
        <w:tc>
          <w:tcPr>
            <w:tcW w:w="284" w:type="dxa"/>
            <w:tcBorders>
              <w:top w:val="nil"/>
              <w:left w:val="nil"/>
              <w:bottom w:val="nil"/>
              <w:right w:val="nil"/>
            </w:tcBorders>
          </w:tcPr>
          <w:p w14:paraId="3C2263DB" w14:textId="77777777" w:rsidR="00ED130D" w:rsidRDefault="00ED130D">
            <w:pPr>
              <w:spacing w:before="0"/>
              <w:jc w:val="center"/>
              <w:rPr>
                <w:rFonts w:cs="David"/>
                <w:b/>
                <w:bCs/>
                <w:sz w:val="24"/>
                <w:rtl/>
                <w:lang w:eastAsia="en-US"/>
              </w:rPr>
            </w:pPr>
          </w:p>
        </w:tc>
        <w:tc>
          <w:tcPr>
            <w:tcW w:w="2376" w:type="dxa"/>
            <w:tcBorders>
              <w:top w:val="single" w:sz="4" w:space="0" w:color="auto"/>
              <w:left w:val="nil"/>
              <w:bottom w:val="nil"/>
              <w:right w:val="nil"/>
            </w:tcBorders>
          </w:tcPr>
          <w:p w14:paraId="0E5D8E9F" w14:textId="77777777" w:rsidR="00ED130D" w:rsidRDefault="00ED130D">
            <w:pPr>
              <w:spacing w:before="0"/>
              <w:jc w:val="center"/>
              <w:rPr>
                <w:rFonts w:cs="David"/>
                <w:b/>
                <w:bCs/>
                <w:sz w:val="24"/>
                <w:rtl/>
                <w:lang w:eastAsia="en-US"/>
              </w:rPr>
            </w:pPr>
            <w:r>
              <w:rPr>
                <w:rFonts w:cs="David"/>
                <w:b/>
                <w:bCs/>
                <w:sz w:val="24"/>
                <w:rtl/>
                <w:lang w:eastAsia="en-US"/>
              </w:rPr>
              <w:t>עו"ד ירון קידר</w:t>
            </w:r>
          </w:p>
          <w:p w14:paraId="363516DF" w14:textId="77777777" w:rsidR="00ED130D" w:rsidRDefault="00ED130D">
            <w:pPr>
              <w:spacing w:before="0"/>
              <w:jc w:val="center"/>
              <w:rPr>
                <w:rFonts w:cs="David"/>
                <w:b/>
                <w:bCs/>
                <w:sz w:val="24"/>
                <w:rtl/>
                <w:lang w:eastAsia="en-US"/>
              </w:rPr>
            </w:pPr>
            <w:r>
              <w:rPr>
                <w:rFonts w:cs="David"/>
                <w:b/>
                <w:bCs/>
                <w:sz w:val="24"/>
                <w:rtl/>
                <w:lang w:eastAsia="en-US"/>
              </w:rPr>
              <w:t>חבר</w:t>
            </w:r>
          </w:p>
        </w:tc>
      </w:tr>
    </w:tbl>
    <w:p w14:paraId="00406211" w14:textId="77777777" w:rsidR="00000000" w:rsidRDefault="004D1944">
      <w:pPr>
        <w:spacing w:before="0"/>
        <w:ind w:left="720" w:hanging="720"/>
        <w:rPr>
          <w:rFonts w:cs="David"/>
          <w:b/>
          <w:bCs/>
          <w:sz w:val="24"/>
          <w:rtl/>
          <w:lang w:eastAsia="en-US"/>
        </w:rPr>
      </w:pPr>
    </w:p>
    <w:p w14:paraId="40FED48F" w14:textId="77777777" w:rsidR="00000000" w:rsidRDefault="004D1944">
      <w:pPr>
        <w:spacing w:before="0"/>
        <w:ind w:left="720" w:hanging="720"/>
        <w:rPr>
          <w:rFonts w:cs="David"/>
          <w:sz w:val="24"/>
          <w:rtl/>
          <w:lang w:eastAsia="en-US"/>
        </w:rPr>
      </w:pPr>
    </w:p>
    <w:p w14:paraId="0B2D3624" w14:textId="77777777" w:rsidR="00000000" w:rsidRDefault="004D1944">
      <w:pPr>
        <w:spacing w:before="0"/>
        <w:ind w:left="720" w:hanging="720"/>
        <w:rPr>
          <w:rFonts w:cs="David"/>
          <w:sz w:val="24"/>
          <w:rtl/>
          <w:lang w:eastAsia="en-US"/>
        </w:rPr>
      </w:pPr>
    </w:p>
    <w:p w14:paraId="6082A9D0" w14:textId="77777777" w:rsidR="004D1944" w:rsidRDefault="004D1944">
      <w:pPr>
        <w:spacing w:before="0"/>
        <w:ind w:left="720"/>
        <w:rPr>
          <w:rFonts w:cs="David"/>
          <w:sz w:val="24"/>
          <w:rtl/>
          <w:lang w:eastAsia="en-US"/>
        </w:rPr>
      </w:pPr>
    </w:p>
    <w:sectPr w:rsidR="004D1944">
      <w:footerReference w:type="default" r:id="rId7"/>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2C55" w14:textId="77777777" w:rsidR="004D1944" w:rsidRDefault="004D1944">
      <w:pPr>
        <w:spacing w:before="0" w:line="240" w:lineRule="auto"/>
      </w:pPr>
      <w:r>
        <w:separator/>
      </w:r>
    </w:p>
  </w:endnote>
  <w:endnote w:type="continuationSeparator" w:id="0">
    <w:p w14:paraId="5F6177E2" w14:textId="77777777" w:rsidR="004D1944" w:rsidRDefault="004D19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FF30" w14:textId="77777777" w:rsidR="00000000" w:rsidRDefault="004D1944">
    <w:pPr>
      <w:pStyle w:val="ae"/>
      <w:jc w:val="left"/>
      <w:rPr>
        <w:rFonts w:cs="David"/>
        <w:sz w:val="24"/>
        <w:rtl/>
      </w:rPr>
    </w:pPr>
    <w:r>
      <w:rPr>
        <w:rFonts w:cs="David"/>
        <w:sz w:val="24"/>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0319" w14:textId="77777777" w:rsidR="004D1944" w:rsidRDefault="004D1944">
      <w:pPr>
        <w:spacing w:before="0" w:line="240" w:lineRule="auto"/>
      </w:pPr>
      <w:r>
        <w:separator/>
      </w:r>
    </w:p>
  </w:footnote>
  <w:footnote w:type="continuationSeparator" w:id="0">
    <w:p w14:paraId="6BA894B6" w14:textId="77777777" w:rsidR="004D1944" w:rsidRDefault="004D194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F4AF6C"/>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2FB81384"/>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A240D9D0"/>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6B58ADE4"/>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2AB018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284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E3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CB5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8CC8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EE968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3081C"/>
    <w:multiLevelType w:val="hybridMultilevel"/>
    <w:tmpl w:val="90D25144"/>
    <w:lvl w:ilvl="0" w:tplc="2CECE4AE">
      <w:start w:val="1"/>
      <w:numFmt w:val="decimal"/>
      <w:lvlText w:val="%1."/>
      <w:lvlJc w:val="left"/>
      <w:pPr>
        <w:tabs>
          <w:tab w:val="num" w:pos="1080"/>
        </w:tabs>
        <w:ind w:left="1080" w:hanging="72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74216E6"/>
    <w:multiLevelType w:val="multilevel"/>
    <w:tmpl w:val="75B2C9B6"/>
    <w:lvl w:ilvl="0">
      <w:start w:val="1"/>
      <w:numFmt w:val="none"/>
      <w:lvlText w:val="1."/>
      <w:lvlJc w:val="right"/>
      <w:pPr>
        <w:tabs>
          <w:tab w:val="num" w:pos="567"/>
        </w:tabs>
        <w:ind w:left="567" w:hanging="567"/>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3BB55B3D"/>
    <w:multiLevelType w:val="multilevel"/>
    <w:tmpl w:val="C8448450"/>
    <w:lvl w:ilvl="0">
      <w:start w:val="1"/>
      <w:numFmt w:val="none"/>
      <w:lvlText w:val="1."/>
      <w:lvlJc w:val="right"/>
      <w:pPr>
        <w:tabs>
          <w:tab w:val="num" w:pos="1134"/>
        </w:tabs>
        <w:ind w:left="1134" w:hanging="567"/>
      </w:pPr>
      <w:rPr>
        <w:rFonts w:ascii="Times New Roman" w:hAnsi="Times New Roman" w:cs="Times New Roman" w:hint="default"/>
      </w:rPr>
    </w:lvl>
    <w:lvl w:ilvl="1">
      <w:start w:val="1"/>
      <w:numFmt w:val="none"/>
      <w:lvlText w:val="2."/>
      <w:lvlJc w:val="righ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647"/>
        </w:tabs>
        <w:ind w:left="1647" w:hanging="360"/>
      </w:pPr>
      <w:rPr>
        <w:rFonts w:ascii="Times New Roman" w:hAnsi="Times New Roman" w:cs="Times New Roman" w:hint="default"/>
      </w:rPr>
    </w:lvl>
    <w:lvl w:ilvl="3">
      <w:start w:val="1"/>
      <w:numFmt w:val="decimal"/>
      <w:lvlText w:val="(%4)"/>
      <w:lvlJc w:val="left"/>
      <w:pPr>
        <w:tabs>
          <w:tab w:val="num" w:pos="2007"/>
        </w:tabs>
        <w:ind w:left="2007" w:hanging="360"/>
      </w:pPr>
      <w:rPr>
        <w:rFonts w:ascii="Times New Roman" w:hAnsi="Times New Roman" w:cs="Times New Roman" w:hint="default"/>
      </w:rPr>
    </w:lvl>
    <w:lvl w:ilvl="4">
      <w:start w:val="1"/>
      <w:numFmt w:val="lowerLetter"/>
      <w:lvlText w:val="(%5)"/>
      <w:lvlJc w:val="left"/>
      <w:pPr>
        <w:tabs>
          <w:tab w:val="num" w:pos="2367"/>
        </w:tabs>
        <w:ind w:left="2367" w:hanging="360"/>
      </w:pPr>
      <w:rPr>
        <w:rFonts w:ascii="Times New Roman" w:hAnsi="Times New Roman" w:cs="Times New Roman" w:hint="default"/>
      </w:rPr>
    </w:lvl>
    <w:lvl w:ilvl="5">
      <w:start w:val="1"/>
      <w:numFmt w:val="lowerRoman"/>
      <w:lvlText w:val="(%6)"/>
      <w:lvlJc w:val="left"/>
      <w:pPr>
        <w:tabs>
          <w:tab w:val="num" w:pos="2727"/>
        </w:tabs>
        <w:ind w:left="2727" w:hanging="360"/>
      </w:pPr>
      <w:rPr>
        <w:rFonts w:ascii="Times New Roman" w:hAnsi="Times New Roman" w:cs="Times New Roman" w:hint="default"/>
      </w:rPr>
    </w:lvl>
    <w:lvl w:ilvl="6">
      <w:start w:val="1"/>
      <w:numFmt w:val="decimal"/>
      <w:lvlText w:val="%7."/>
      <w:lvlJc w:val="left"/>
      <w:pPr>
        <w:tabs>
          <w:tab w:val="num" w:pos="3087"/>
        </w:tabs>
        <w:ind w:left="3087" w:hanging="360"/>
      </w:pPr>
      <w:rPr>
        <w:rFonts w:ascii="Times New Roman" w:hAnsi="Times New Roman" w:cs="Times New Roman" w:hint="default"/>
      </w:rPr>
    </w:lvl>
    <w:lvl w:ilvl="7">
      <w:start w:val="1"/>
      <w:numFmt w:val="lowerLetter"/>
      <w:lvlText w:val="%8."/>
      <w:lvlJc w:val="left"/>
      <w:pPr>
        <w:tabs>
          <w:tab w:val="num" w:pos="3447"/>
        </w:tabs>
        <w:ind w:left="3447" w:hanging="360"/>
      </w:pPr>
      <w:rPr>
        <w:rFonts w:ascii="Times New Roman" w:hAnsi="Times New Roman" w:cs="Times New Roman" w:hint="default"/>
      </w:rPr>
    </w:lvl>
    <w:lvl w:ilvl="8">
      <w:start w:val="1"/>
      <w:numFmt w:val="lowerRoman"/>
      <w:lvlText w:val="%9."/>
      <w:lvlJc w:val="left"/>
      <w:pPr>
        <w:tabs>
          <w:tab w:val="num" w:pos="3807"/>
        </w:tabs>
        <w:ind w:left="3807" w:hanging="360"/>
      </w:pPr>
      <w:rPr>
        <w:rFonts w:ascii="Times New Roman" w:hAnsi="Times New Roman" w:cs="Times New Roman" w:hint="default"/>
      </w:rPr>
    </w:lvl>
  </w:abstractNum>
  <w:abstractNum w:abstractNumId="13" w15:restartNumberingAfterBreak="0">
    <w:nsid w:val="3F283415"/>
    <w:multiLevelType w:val="multilevel"/>
    <w:tmpl w:val="012EB472"/>
    <w:lvl w:ilvl="0">
      <w:start w:val="1"/>
      <w:numFmt w:val="decimal"/>
      <w:lvlText w:val="%1."/>
      <w:lvlJc w:val="right"/>
      <w:pPr>
        <w:tabs>
          <w:tab w:val="num" w:pos="567"/>
        </w:tabs>
        <w:ind w:left="567" w:hanging="397"/>
      </w:pPr>
      <w:rPr>
        <w:rFonts w:ascii="Times New Roman" w:hAnsi="Times New Roman" w:cs="Times New Roman" w:hint="default"/>
      </w:rPr>
    </w:lvl>
    <w:lvl w:ilvl="1">
      <w:start w:val="1"/>
      <w:numFmt w:val="decimal"/>
      <w:lvlText w:val="%1.%2."/>
      <w:lvlJc w:val="right"/>
      <w:pPr>
        <w:tabs>
          <w:tab w:val="num" w:pos="1134"/>
        </w:tabs>
        <w:ind w:left="1134" w:hanging="567"/>
      </w:pPr>
      <w:rPr>
        <w:rFonts w:ascii="Times New Roman" w:hAnsi="Times New Roman" w:cs="Times New Roman" w:hint="default"/>
      </w:rPr>
    </w:lvl>
    <w:lvl w:ilvl="2">
      <w:start w:val="1"/>
      <w:numFmt w:val="hebrew1"/>
      <w:lvlText w:val="%2.%1 (%3)"/>
      <w:lvlJc w:val="right"/>
      <w:pPr>
        <w:tabs>
          <w:tab w:val="num" w:pos="1701"/>
        </w:tabs>
        <w:ind w:left="1701" w:hanging="567"/>
      </w:pPr>
      <w:rPr>
        <w:rFonts w:ascii="Times New Roman" w:hAnsi="Times New Roman" w:cs="Times New Roman" w:hint="default"/>
      </w:rPr>
    </w:lvl>
    <w:lvl w:ilvl="3">
      <w:start w:val="1"/>
      <w:numFmt w:val="decimal"/>
      <w:lvlText w:val="%3 (%4)"/>
      <w:lvlJc w:val="right"/>
      <w:pPr>
        <w:tabs>
          <w:tab w:val="num" w:pos="2268"/>
        </w:tabs>
        <w:ind w:left="2268" w:hanging="567"/>
      </w:pPr>
      <w:rPr>
        <w:rFonts w:ascii="Times New Roman" w:hAnsi="Times New Roman" w:cs="Times New Roman" w:hint="default"/>
      </w:rPr>
    </w:lvl>
    <w:lvl w:ilvl="4">
      <w:start w:val="1"/>
      <w:numFmt w:val="lowerRoman"/>
      <w:lvlText w:val="(%5)"/>
      <w:lvlJc w:val="right"/>
      <w:pPr>
        <w:tabs>
          <w:tab w:val="num" w:pos="2835"/>
        </w:tabs>
        <w:ind w:left="2835" w:hanging="567"/>
      </w:pPr>
      <w:rPr>
        <w:rFonts w:ascii="Times New Roman" w:hAnsi="Times New Roman" w:cs="Times New Roman"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4" w15:restartNumberingAfterBreak="0">
    <w:nsid w:val="41290DA1"/>
    <w:multiLevelType w:val="hybridMultilevel"/>
    <w:tmpl w:val="2EA273AA"/>
    <w:lvl w:ilvl="0" w:tplc="2CECE4AE">
      <w:start w:val="1"/>
      <w:numFmt w:val="decimal"/>
      <w:lvlText w:val="%1."/>
      <w:lvlJc w:val="left"/>
      <w:pPr>
        <w:tabs>
          <w:tab w:val="num" w:pos="1080"/>
        </w:tabs>
        <w:ind w:left="1080" w:hanging="72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6364852"/>
    <w:multiLevelType w:val="hybridMultilevel"/>
    <w:tmpl w:val="F9A8311C"/>
    <w:lvl w:ilvl="0" w:tplc="2CECE4AE">
      <w:start w:val="4"/>
      <w:numFmt w:val="decimal"/>
      <w:lvlText w:val="%1."/>
      <w:lvlJc w:val="left"/>
      <w:pPr>
        <w:tabs>
          <w:tab w:val="num" w:pos="1080"/>
        </w:tabs>
        <w:ind w:left="1080" w:hanging="72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33E293D"/>
    <w:multiLevelType w:val="hybridMultilevel"/>
    <w:tmpl w:val="11A66A0E"/>
    <w:lvl w:ilvl="0" w:tplc="64E6356E">
      <w:start w:val="5"/>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1CF67C3"/>
    <w:multiLevelType w:val="hybridMultilevel"/>
    <w:tmpl w:val="C186DD34"/>
    <w:lvl w:ilvl="0" w:tplc="040D000F">
      <w:start w:val="1"/>
      <w:numFmt w:val="decimal"/>
      <w:lvlText w:val="%1."/>
      <w:lvlJc w:val="left"/>
      <w:pPr>
        <w:tabs>
          <w:tab w:val="num" w:pos="720"/>
        </w:tabs>
        <w:ind w:left="720"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1"/>
  </w:num>
  <w:num w:numId="42">
    <w:abstractNumId w:val="12"/>
  </w:num>
  <w:num w:numId="43">
    <w:abstractNumId w:val="13"/>
  </w:num>
  <w:num w:numId="44">
    <w:abstractNumId w:val="10"/>
  </w:num>
  <w:num w:numId="45">
    <w:abstractNumId w:val="17"/>
  </w:num>
  <w:num w:numId="46">
    <w:abstractNumId w:val="15"/>
  </w:num>
  <w:num w:numId="47">
    <w:abstractNumId w:val="1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D"/>
    <w:rsid w:val="004D1944"/>
    <w:rsid w:val="00ED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57B4A"/>
  <w14:defaultImageDpi w14:val="0"/>
  <w15:docId w15:val="{FA540C37-19A5-489E-BEB0-BED1A209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before="120" w:after="0" w:line="360" w:lineRule="auto"/>
      <w:jc w:val="both"/>
    </w:pPr>
    <w:rPr>
      <w:rFonts w:ascii="Times New Roman" w:hAnsi="Times New Roman" w:cs="Times New Roman"/>
      <w:szCs w:val="24"/>
      <w:lang w:eastAsia="he-IL"/>
    </w:rPr>
  </w:style>
  <w:style w:type="paragraph" w:styleId="1">
    <w:name w:val="heading 1"/>
    <w:basedOn w:val="a"/>
    <w:next w:val="a"/>
    <w:link w:val="10"/>
    <w:uiPriority w:val="99"/>
    <w:qFormat/>
    <w:pPr>
      <w:keepNext/>
      <w:keepLines/>
      <w:outlineLvl w:val="0"/>
    </w:pPr>
    <w:rPr>
      <w:b/>
      <w:bCs/>
      <w:kern w:val="32"/>
      <w:sz w:val="26"/>
      <w:szCs w:val="26"/>
      <w:u w:val="single"/>
    </w:rPr>
  </w:style>
  <w:style w:type="paragraph" w:styleId="2">
    <w:name w:val="heading 2"/>
    <w:basedOn w:val="a"/>
    <w:next w:val="a"/>
    <w:link w:val="20"/>
    <w:uiPriority w:val="99"/>
    <w:qFormat/>
    <w:pPr>
      <w:keepNext/>
      <w:keepLines/>
      <w:outlineLvl w:val="1"/>
    </w:pPr>
    <w:rPr>
      <w:b/>
      <w:bCs/>
    </w:rPr>
  </w:style>
  <w:style w:type="paragraph" w:styleId="3">
    <w:name w:val="heading 3"/>
    <w:basedOn w:val="a"/>
    <w:next w:val="a"/>
    <w:link w:val="30"/>
    <w:uiPriority w:val="99"/>
    <w:qFormat/>
    <w:pPr>
      <w:keepNext/>
      <w:keepLines/>
      <w:outlineLvl w:val="2"/>
    </w:pPr>
    <w:rPr>
      <w:b/>
      <w:bCs/>
    </w:rPr>
  </w:style>
  <w:style w:type="paragraph" w:styleId="4">
    <w:name w:val="heading 4"/>
    <w:basedOn w:val="a"/>
    <w:next w:val="a"/>
    <w:link w:val="40"/>
    <w:uiPriority w:val="99"/>
    <w:qFormat/>
    <w:pPr>
      <w:keepNext/>
      <w:keepLines/>
      <w:outlineLvl w:val="3"/>
    </w:pPr>
    <w:rPr>
      <w:b/>
      <w:bCs/>
    </w:rPr>
  </w:style>
  <w:style w:type="paragraph" w:styleId="5">
    <w:name w:val="heading 5"/>
    <w:basedOn w:val="a"/>
    <w:next w:val="a"/>
    <w:link w:val="50"/>
    <w:uiPriority w:val="99"/>
    <w:qFormat/>
    <w:pPr>
      <w:keepNext/>
      <w:keepLines/>
      <w:outlineLvl w:val="4"/>
    </w:pPr>
    <w:rPr>
      <w:b/>
      <w:bCs/>
    </w:rPr>
  </w:style>
  <w:style w:type="paragraph" w:styleId="6">
    <w:name w:val="heading 6"/>
    <w:basedOn w:val="a"/>
    <w:next w:val="a"/>
    <w:link w:val="60"/>
    <w:uiPriority w:val="99"/>
    <w:qFormat/>
    <w:pPr>
      <w:keepNext/>
      <w:keepLines/>
      <w:outlineLvl w:val="5"/>
    </w:pPr>
    <w:rPr>
      <w:b/>
      <w:bCs/>
    </w:rPr>
  </w:style>
  <w:style w:type="paragraph" w:styleId="7">
    <w:name w:val="heading 7"/>
    <w:basedOn w:val="a"/>
    <w:next w:val="a"/>
    <w:link w:val="70"/>
    <w:uiPriority w:val="99"/>
    <w:qFormat/>
    <w:pPr>
      <w:keepNext/>
      <w:outlineLvl w:val="6"/>
    </w:pPr>
    <w:rPr>
      <w:u w:val="single"/>
      <w:lang w:eastAsia="en-US"/>
    </w:rPr>
  </w:style>
  <w:style w:type="paragraph" w:styleId="8">
    <w:name w:val="heading 8"/>
    <w:basedOn w:val="a"/>
    <w:next w:val="a"/>
    <w:link w:val="80"/>
    <w:uiPriority w:val="99"/>
    <w:qFormat/>
    <w:pPr>
      <w:keepNext/>
      <w:spacing w:before="0"/>
      <w:outlineLvl w:val="7"/>
    </w:pPr>
    <w:rPr>
      <w:b/>
      <w:bCs/>
      <w:lang w:eastAsia="en-US"/>
    </w:rPr>
  </w:style>
  <w:style w:type="paragraph" w:styleId="9">
    <w:name w:val="heading 9"/>
    <w:basedOn w:val="a"/>
    <w:next w:val="a"/>
    <w:link w:val="90"/>
    <w:uiPriority w:val="99"/>
    <w:qFormat/>
    <w:pPr>
      <w:keepNext/>
      <w:spacing w:before="0"/>
      <w:jc w:val="center"/>
      <w:outlineLvl w:val="8"/>
    </w:pPr>
    <w:rPr>
      <w:b/>
      <w:bCs/>
      <w:sz w:val="28"/>
      <w:szCs w:val="28"/>
      <w:u w:val="single"/>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semiHidden/>
    <w:rPr>
      <w:b/>
      <w:bCs/>
      <w:sz w:val="28"/>
      <w:szCs w:val="28"/>
      <w:lang w:eastAsia="he-IL"/>
    </w:rPr>
  </w:style>
  <w:style w:type="character" w:customStyle="1" w:styleId="50">
    <w:name w:val="כותרת 5 תו"/>
    <w:basedOn w:val="a0"/>
    <w:link w:val="5"/>
    <w:uiPriority w:val="9"/>
    <w:semiHidden/>
    <w:rPr>
      <w:b/>
      <w:bCs/>
      <w:i/>
      <w:iCs/>
      <w:sz w:val="26"/>
      <w:szCs w:val="26"/>
      <w:lang w:eastAsia="he-IL"/>
    </w:rPr>
  </w:style>
  <w:style w:type="character" w:customStyle="1" w:styleId="60">
    <w:name w:val="כותרת 6 תו"/>
    <w:basedOn w:val="a0"/>
    <w:link w:val="6"/>
    <w:uiPriority w:val="9"/>
    <w:semiHidden/>
    <w:rPr>
      <w:b/>
      <w:bCs/>
      <w:lang w:eastAsia="he-IL"/>
    </w:rPr>
  </w:style>
  <w:style w:type="character" w:customStyle="1" w:styleId="70">
    <w:name w:val="כותרת 7 תו"/>
    <w:basedOn w:val="a0"/>
    <w:link w:val="7"/>
    <w:uiPriority w:val="9"/>
    <w:semiHidden/>
    <w:rPr>
      <w:sz w:val="24"/>
      <w:szCs w:val="24"/>
      <w:lang w:eastAsia="he-IL"/>
    </w:rPr>
  </w:style>
  <w:style w:type="character" w:customStyle="1" w:styleId="80">
    <w:name w:val="כותרת 8 תו"/>
    <w:basedOn w:val="a0"/>
    <w:link w:val="8"/>
    <w:uiPriority w:val="9"/>
    <w:semiHidden/>
    <w:rPr>
      <w:i/>
      <w:iCs/>
      <w:sz w:val="24"/>
      <w:szCs w:val="24"/>
      <w:lang w:eastAsia="he-IL"/>
    </w:rPr>
  </w:style>
  <w:style w:type="character" w:customStyle="1" w:styleId="90">
    <w:name w:val="כותרת 9 תו"/>
    <w:basedOn w:val="a0"/>
    <w:link w:val="9"/>
    <w:uiPriority w:val="9"/>
    <w:semiHidden/>
    <w:rPr>
      <w:rFonts w:asciiTheme="majorHAnsi" w:eastAsiaTheme="majorEastAsia" w:hAnsiTheme="majorHAnsi" w:cstheme="majorBidi"/>
      <w:lang w:eastAsia="he-IL"/>
    </w:rPr>
  </w:style>
  <w:style w:type="paragraph" w:styleId="TOC1">
    <w:name w:val="toc 1"/>
    <w:basedOn w:val="a"/>
    <w:next w:val="a"/>
    <w:autoRedefine/>
    <w:uiPriority w:val="99"/>
    <w:pPr>
      <w:keepNext/>
      <w:keepLines/>
      <w:spacing w:before="240" w:after="120"/>
    </w:pPr>
    <w:rPr>
      <w:b/>
      <w:bCs/>
      <w:szCs w:val="22"/>
    </w:rPr>
  </w:style>
  <w:style w:type="paragraph" w:styleId="TOC2">
    <w:name w:val="toc 2"/>
    <w:basedOn w:val="a"/>
    <w:next w:val="a"/>
    <w:autoRedefine/>
    <w:uiPriority w:val="99"/>
    <w:pPr>
      <w:keepLines/>
      <w:spacing w:after="60"/>
      <w:ind w:left="238"/>
    </w:pPr>
    <w:rPr>
      <w:szCs w:val="22"/>
    </w:rPr>
  </w:style>
  <w:style w:type="paragraph" w:styleId="TOC3">
    <w:name w:val="toc 3"/>
    <w:basedOn w:val="a"/>
    <w:next w:val="a"/>
    <w:autoRedefine/>
    <w:uiPriority w:val="99"/>
    <w:pPr>
      <w:ind w:left="482"/>
    </w:pPr>
    <w:rPr>
      <w:szCs w:val="22"/>
    </w:rPr>
  </w:style>
  <w:style w:type="paragraph" w:styleId="TOC4">
    <w:name w:val="toc 4"/>
    <w:basedOn w:val="a"/>
    <w:next w:val="a"/>
    <w:autoRedefine/>
    <w:uiPriority w:val="99"/>
    <w:pPr>
      <w:ind w:left="720"/>
    </w:pPr>
    <w:rPr>
      <w:szCs w:val="22"/>
    </w:rPr>
  </w:style>
  <w:style w:type="paragraph" w:styleId="TOC5">
    <w:name w:val="toc 5"/>
    <w:basedOn w:val="a"/>
    <w:next w:val="a"/>
    <w:autoRedefine/>
    <w:uiPriority w:val="99"/>
    <w:pPr>
      <w:ind w:left="958"/>
    </w:pPr>
    <w:rPr>
      <w:szCs w:val="22"/>
    </w:rPr>
  </w:style>
  <w:style w:type="paragraph" w:styleId="TOC6">
    <w:name w:val="toc 6"/>
    <w:basedOn w:val="a"/>
    <w:next w:val="a"/>
    <w:autoRedefine/>
    <w:uiPriority w:val="99"/>
    <w:pPr>
      <w:ind w:left="1202"/>
    </w:pPr>
    <w:rPr>
      <w:szCs w:val="22"/>
    </w:rPr>
  </w:style>
  <w:style w:type="paragraph" w:styleId="a3">
    <w:name w:val="Signature"/>
    <w:basedOn w:val="a"/>
    <w:link w:val="a4"/>
    <w:uiPriority w:val="99"/>
    <w:pPr>
      <w:ind w:left="3686"/>
      <w:jc w:val="center"/>
    </w:pPr>
  </w:style>
  <w:style w:type="character" w:customStyle="1" w:styleId="a4">
    <w:name w:val="חתימה תו"/>
    <w:basedOn w:val="a0"/>
    <w:link w:val="a3"/>
    <w:uiPriority w:val="99"/>
    <w:semiHidden/>
    <w:rPr>
      <w:rFonts w:ascii="Times New Roman" w:hAnsi="Times New Roman" w:cs="Times New Roman"/>
      <w:szCs w:val="24"/>
      <w:lang w:eastAsia="he-IL"/>
    </w:rPr>
  </w:style>
  <w:style w:type="paragraph" w:styleId="a5">
    <w:name w:val="Salutation"/>
    <w:basedOn w:val="a"/>
    <w:next w:val="a"/>
    <w:link w:val="a6"/>
    <w:uiPriority w:val="99"/>
    <w:rPr>
      <w:b/>
      <w:bCs/>
    </w:rPr>
  </w:style>
  <w:style w:type="character" w:customStyle="1" w:styleId="a6">
    <w:name w:val="ברכה תו"/>
    <w:basedOn w:val="a0"/>
    <w:link w:val="a5"/>
    <w:uiPriority w:val="99"/>
    <w:semiHidden/>
    <w:rPr>
      <w:rFonts w:ascii="Times New Roman" w:hAnsi="Times New Roman" w:cs="Times New Roman"/>
      <w:szCs w:val="24"/>
      <w:lang w:eastAsia="he-IL"/>
    </w:rPr>
  </w:style>
  <w:style w:type="paragraph" w:styleId="a7">
    <w:name w:val="List Number"/>
    <w:basedOn w:val="a"/>
    <w:uiPriority w:val="99"/>
    <w:pPr>
      <w:numPr>
        <w:numId w:val="11"/>
      </w:numPr>
      <w:tabs>
        <w:tab w:val="left" w:leader="dot" w:pos="567"/>
      </w:tabs>
    </w:pPr>
  </w:style>
  <w:style w:type="paragraph" w:styleId="21">
    <w:name w:val="List Number 2"/>
    <w:basedOn w:val="a"/>
    <w:uiPriority w:val="99"/>
    <w:pPr>
      <w:numPr>
        <w:numId w:val="12"/>
      </w:numPr>
      <w:tabs>
        <w:tab w:val="left" w:pos="1134"/>
      </w:tabs>
    </w:pPr>
  </w:style>
  <w:style w:type="paragraph" w:styleId="31">
    <w:name w:val="List Number 3"/>
    <w:basedOn w:val="a"/>
    <w:uiPriority w:val="99"/>
    <w:pPr>
      <w:numPr>
        <w:numId w:val="13"/>
      </w:numPr>
      <w:tabs>
        <w:tab w:val="left" w:pos="1701"/>
      </w:tabs>
    </w:pPr>
  </w:style>
  <w:style w:type="paragraph" w:styleId="41">
    <w:name w:val="List Number 4"/>
    <w:basedOn w:val="a"/>
    <w:uiPriority w:val="99"/>
    <w:pPr>
      <w:numPr>
        <w:numId w:val="14"/>
      </w:numPr>
      <w:tabs>
        <w:tab w:val="left" w:pos="2268"/>
      </w:tabs>
    </w:pPr>
  </w:style>
  <w:style w:type="paragraph" w:styleId="51">
    <w:name w:val="List Number 5"/>
    <w:basedOn w:val="a"/>
    <w:uiPriority w:val="99"/>
    <w:pPr>
      <w:numPr>
        <w:numId w:val="15"/>
      </w:numPr>
      <w:tabs>
        <w:tab w:val="left" w:pos="2835"/>
      </w:tabs>
    </w:pPr>
  </w:style>
  <w:style w:type="paragraph" w:styleId="a8">
    <w:name w:val="List Bullet"/>
    <w:basedOn w:val="a"/>
    <w:autoRedefine/>
    <w:uiPriority w:val="99"/>
    <w:pPr>
      <w:numPr>
        <w:numId w:val="16"/>
      </w:numPr>
      <w:tabs>
        <w:tab w:val="left" w:pos="567"/>
      </w:tabs>
    </w:pPr>
  </w:style>
  <w:style w:type="paragraph" w:styleId="22">
    <w:name w:val="List Bullet 2"/>
    <w:basedOn w:val="a"/>
    <w:autoRedefine/>
    <w:uiPriority w:val="99"/>
    <w:pPr>
      <w:numPr>
        <w:numId w:val="17"/>
      </w:numPr>
      <w:tabs>
        <w:tab w:val="left" w:pos="1134"/>
      </w:tabs>
    </w:pPr>
  </w:style>
  <w:style w:type="paragraph" w:styleId="32">
    <w:name w:val="List Bullet 3"/>
    <w:basedOn w:val="a"/>
    <w:autoRedefine/>
    <w:uiPriority w:val="99"/>
    <w:pPr>
      <w:numPr>
        <w:numId w:val="18"/>
      </w:numPr>
      <w:tabs>
        <w:tab w:val="left" w:pos="1701"/>
      </w:tabs>
    </w:pPr>
  </w:style>
  <w:style w:type="paragraph" w:styleId="42">
    <w:name w:val="List Bullet 4"/>
    <w:basedOn w:val="a"/>
    <w:autoRedefine/>
    <w:uiPriority w:val="99"/>
    <w:pPr>
      <w:numPr>
        <w:numId w:val="19"/>
      </w:numPr>
      <w:tabs>
        <w:tab w:val="left" w:pos="2268"/>
      </w:tabs>
    </w:pPr>
  </w:style>
  <w:style w:type="paragraph" w:styleId="52">
    <w:name w:val="List Bullet 5"/>
    <w:basedOn w:val="a"/>
    <w:autoRedefine/>
    <w:uiPriority w:val="99"/>
    <w:pPr>
      <w:numPr>
        <w:numId w:val="20"/>
      </w:numPr>
      <w:tabs>
        <w:tab w:val="left" w:pos="2835"/>
      </w:tabs>
    </w:pPr>
  </w:style>
  <w:style w:type="paragraph" w:customStyle="1" w:styleId="11">
    <w:name w:val="סגנון1"/>
    <w:basedOn w:val="a"/>
    <w:autoRedefine/>
    <w:uiPriority w:val="99"/>
  </w:style>
  <w:style w:type="paragraph" w:customStyle="1" w:styleId="AfterHeading2">
    <w:name w:val="After Heading 2"/>
    <w:basedOn w:val="a"/>
    <w:autoRedefine/>
    <w:uiPriority w:val="99"/>
    <w:pPr>
      <w:ind w:left="170"/>
    </w:pPr>
  </w:style>
  <w:style w:type="paragraph" w:customStyle="1" w:styleId="AfterHeading3">
    <w:name w:val="After Heading 3"/>
    <w:basedOn w:val="a"/>
    <w:autoRedefine/>
    <w:uiPriority w:val="99"/>
    <w:pPr>
      <w:ind w:left="510"/>
    </w:pPr>
  </w:style>
  <w:style w:type="paragraph" w:customStyle="1" w:styleId="AfterHeading4">
    <w:name w:val="After Heading 4"/>
    <w:basedOn w:val="a"/>
    <w:autoRedefine/>
    <w:uiPriority w:val="99"/>
    <w:pPr>
      <w:ind w:left="1247"/>
    </w:pPr>
  </w:style>
  <w:style w:type="paragraph" w:customStyle="1" w:styleId="AfterHeading5">
    <w:name w:val="After Heading 5"/>
    <w:basedOn w:val="a"/>
    <w:autoRedefine/>
    <w:uiPriority w:val="99"/>
    <w:pPr>
      <w:ind w:left="2098"/>
    </w:pPr>
  </w:style>
  <w:style w:type="paragraph" w:customStyle="1" w:styleId="AfterHeading6">
    <w:name w:val="After Heading 6"/>
    <w:basedOn w:val="a"/>
    <w:autoRedefine/>
    <w:uiPriority w:val="99"/>
    <w:pPr>
      <w:ind w:left="2892"/>
    </w:pPr>
  </w:style>
  <w:style w:type="paragraph" w:customStyle="1" w:styleId="AfterHeading1">
    <w:name w:val="After Heading 1"/>
    <w:basedOn w:val="a"/>
    <w:autoRedefine/>
    <w:uiPriority w:val="99"/>
  </w:style>
  <w:style w:type="paragraph" w:styleId="a9">
    <w:name w:val="footnote text"/>
    <w:basedOn w:val="a"/>
    <w:link w:val="aa"/>
    <w:uiPriority w:val="99"/>
    <w:pPr>
      <w:suppressAutoHyphens/>
      <w:spacing w:after="120"/>
    </w:pPr>
    <w:rPr>
      <w:szCs w:val="20"/>
    </w:rPr>
  </w:style>
  <w:style w:type="character" w:customStyle="1" w:styleId="aa">
    <w:name w:val="טקסט הערת שוליים תו"/>
    <w:basedOn w:val="a0"/>
    <w:link w:val="a9"/>
    <w:uiPriority w:val="99"/>
    <w:semiHidden/>
    <w:rPr>
      <w:rFonts w:ascii="Times New Roman" w:hAnsi="Times New Roman" w:cs="Times New Roman"/>
      <w:sz w:val="20"/>
      <w:szCs w:val="20"/>
      <w:lang w:eastAsia="he-IL"/>
    </w:rPr>
  </w:style>
  <w:style w:type="character" w:styleId="ab">
    <w:name w:val="footnote reference"/>
    <w:basedOn w:val="a0"/>
    <w:uiPriority w:val="99"/>
    <w:rPr>
      <w:rFonts w:ascii="Times New Roman" w:hAnsi="Times New Roman" w:cs="Times New Roman"/>
      <w:sz w:val="20"/>
      <w:vertAlign w:val="superscript"/>
      <w:lang w:val="x-none" w:eastAsia="he-IL" w:bidi="he-IL"/>
    </w:rPr>
  </w:style>
  <w:style w:type="paragraph" w:customStyle="1" w:styleId="FootnoteText-1">
    <w:name w:val="Footnote Text-1"/>
    <w:basedOn w:val="a"/>
    <w:uiPriority w:val="99"/>
    <w:pPr>
      <w:suppressAutoHyphens/>
      <w:spacing w:after="120"/>
    </w:pPr>
    <w:rPr>
      <w:szCs w:val="20"/>
    </w:rPr>
  </w:style>
  <w:style w:type="paragraph" w:styleId="ac">
    <w:name w:val="header"/>
    <w:basedOn w:val="a"/>
    <w:link w:val="ad"/>
    <w:uiPriority w:val="99"/>
    <w:pPr>
      <w:tabs>
        <w:tab w:val="center" w:pos="4153"/>
        <w:tab w:val="right" w:pos="8306"/>
      </w:tabs>
    </w:pPr>
  </w:style>
  <w:style w:type="character" w:customStyle="1" w:styleId="ad">
    <w:name w:val="כותרת עליונה תו"/>
    <w:basedOn w:val="a0"/>
    <w:link w:val="ac"/>
    <w:uiPriority w:val="99"/>
    <w:semiHidden/>
    <w:rPr>
      <w:rFonts w:ascii="Times New Roman" w:hAnsi="Times New Roman" w:cs="Times New Roman"/>
      <w:szCs w:val="24"/>
      <w:lang w:eastAsia="he-IL"/>
    </w:rPr>
  </w:style>
  <w:style w:type="paragraph" w:styleId="ae">
    <w:name w:val="footer"/>
    <w:basedOn w:val="a"/>
    <w:link w:val="af"/>
    <w:uiPriority w:val="99"/>
    <w:pPr>
      <w:tabs>
        <w:tab w:val="center" w:pos="4153"/>
        <w:tab w:val="right" w:pos="8306"/>
      </w:tabs>
    </w:pPr>
  </w:style>
  <w:style w:type="character" w:customStyle="1" w:styleId="af">
    <w:name w:val="כותרת תחתונה תו"/>
    <w:basedOn w:val="a0"/>
    <w:link w:val="ae"/>
    <w:uiPriority w:val="99"/>
    <w:semiHidden/>
    <w:rPr>
      <w:rFonts w:ascii="Times New Roman" w:hAnsi="Times New Roman" w:cs="Times New Roman"/>
      <w:szCs w:val="24"/>
      <w:lang w:eastAsia="he-IL"/>
    </w:rPr>
  </w:style>
  <w:style w:type="paragraph" w:styleId="23">
    <w:name w:val="Body Text 2"/>
    <w:basedOn w:val="a"/>
    <w:link w:val="24"/>
    <w:uiPriority w:val="99"/>
    <w:pPr>
      <w:spacing w:before="0"/>
      <w:ind w:left="1080"/>
      <w:jc w:val="left"/>
    </w:pPr>
    <w:rPr>
      <w:sz w:val="24"/>
      <w:lang w:eastAsia="en-US"/>
    </w:rPr>
  </w:style>
  <w:style w:type="character" w:customStyle="1" w:styleId="24">
    <w:name w:val="גוף טקסט 2 תו"/>
    <w:basedOn w:val="a0"/>
    <w:link w:val="23"/>
    <w:uiPriority w:val="99"/>
    <w:semiHidden/>
    <w:rPr>
      <w:rFonts w:ascii="Times New Roman" w:hAnsi="Times New Roman" w:cs="Times New Roman"/>
      <w:szCs w:val="24"/>
      <w:lang w:eastAsia="he-IL"/>
    </w:rPr>
  </w:style>
  <w:style w:type="paragraph" w:styleId="25">
    <w:name w:val="Body Text Indent 2"/>
    <w:basedOn w:val="a"/>
    <w:link w:val="26"/>
    <w:uiPriority w:val="99"/>
    <w:pPr>
      <w:spacing w:before="0"/>
      <w:ind w:left="360"/>
      <w:jc w:val="left"/>
    </w:pPr>
    <w:rPr>
      <w:sz w:val="24"/>
      <w:lang w:eastAsia="en-US"/>
    </w:rPr>
  </w:style>
  <w:style w:type="character" w:customStyle="1" w:styleId="26">
    <w:name w:val="כניסה בגוף טקסט 2 תו"/>
    <w:basedOn w:val="a0"/>
    <w:link w:val="25"/>
    <w:uiPriority w:val="99"/>
    <w:semiHidden/>
    <w:rPr>
      <w:rFonts w:ascii="Times New Roman" w:hAnsi="Times New Roman" w:cs="Times New Roman"/>
      <w:szCs w:val="24"/>
      <w:lang w:eastAsia="he-IL"/>
    </w:rPr>
  </w:style>
  <w:style w:type="character" w:styleId="af0">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4914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Antitrust Authority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rashut</dc:creator>
  <cp:keywords/>
  <dc:description/>
  <cp:lastModifiedBy>משתמש</cp:lastModifiedBy>
  <cp:revision>2</cp:revision>
  <dcterms:created xsi:type="dcterms:W3CDTF">2019-07-15T07:21:00Z</dcterms:created>
  <dcterms:modified xsi:type="dcterms:W3CDTF">2019-07-15T07:21:00Z</dcterms:modified>
</cp:coreProperties>
</file>